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u w:val="none"/>
        </w:rPr>
      </w:pPr>
      <w:r>
        <w:rPr>
          <w:u w:val="none"/>
        </w:rPr>
        <w:t>eNetMatch Schedule to</w:t>
      </w:r>
    </w:p>
    <w:p>
      <w:pPr>
        <w:pStyle w:val="Heading2"/>
        <w:ind w:hanging="0" w:start="0"/>
        <w:jc w:val="center"/>
        <w:rPr/>
      </w:pPr>
      <w:r>
        <w:rPr/>
        <w:t>Access Agreement</w:t>
      </w:r>
    </w:p>
    <w:p>
      <w:pPr>
        <w:pStyle w:val="Normal"/>
        <w:jc w:val="both"/>
        <w:rPr>
          <w:b/>
        </w:rPr>
      </w:pPr>
      <w:r>
        <w:rPr>
          <w:b/>
        </w:rPr>
      </w:r>
    </w:p>
    <w:p>
      <w:pPr>
        <w:pStyle w:val="BodyText3"/>
        <w:rPr>
          <w:rFonts w:ascii="Times New Roman" w:hAnsi="Times New Roman" w:cs="Times New Roman"/>
          <w:sz w:val="24"/>
        </w:rPr>
      </w:pPr>
      <w:r>
        <w:rPr>
          <w:rFonts w:cs="Times New Roman" w:ascii="Times New Roman" w:hAnsi="Times New Roman"/>
          <w:sz w:val="24"/>
        </w:rPr>
        <w:t>This is a Schedule of a Service as referred to in the Access Agreement between the parties.  Terms used but not otherwise defined herein shall have the meanings ascribed to them in the Access Agreement.</w:t>
      </w:r>
    </w:p>
    <w:p>
      <w:pPr>
        <w:pStyle w:val="Normal"/>
        <w:jc w:val="both"/>
        <w:rPr>
          <w:rFonts w:ascii="Times New Roman" w:hAnsi="Times New Roman" w:cs="Times New Roman"/>
          <w:sz w:val="24"/>
        </w:rPr>
      </w:pPr>
      <w:r>
        <w:rPr>
          <w:rFonts w:cs="Times New Roman"/>
          <w:sz w:val="24"/>
        </w:rPr>
      </w:r>
    </w:p>
    <w:p>
      <w:pPr>
        <w:pStyle w:val="Heading1"/>
        <w:ind w:hanging="0" w:start="0"/>
        <w:jc w:val="both"/>
        <w:rPr/>
      </w:pPr>
      <w:r>
        <w:rPr>
          <w:u w:val="none"/>
        </w:rPr>
        <w:t>1.  Description of Service.</w:t>
      </w:r>
      <w:r>
        <w:rPr>
          <w:b w:val="false"/>
          <w:u w:val="none"/>
        </w:rPr>
        <w:t xml:space="preserve">  The Service (“eNetMatch”) covered by this Schedule currently consists of a system for confirming, and viewing information with respect to, certain transactions (“Covered Transactions”) entered into between the Customer and Chase and for transmitting and amending settlement instructions in respect of Covered Transactions.  eNetMatch may be enhanced to provide additional functions as set forth from time to time in the applicable User Guide or on the Chase Website.  Covered Transactions currently consist of (i) foreign exchange spot and standard foreign exchange forward transactions (not including non-deliverable forwards), (ii) cross-currency swap transactions, (iii) standard, single barrier, non-deliverable, and closeout foreign exchange options, and (iv) window forward foreign exchange transactions, window forward takedown foreign exchange transactions and historical rate rollovers of foreign exchange transactions.   Additional Covered Transactions and additional terms applicable to eNetMatch may be set forth from time to time in the applicable User Guide or on the Chase Website in Chase’s discretion.</w:t>
      </w:r>
    </w:p>
    <w:p>
      <w:pPr>
        <w:pStyle w:val="Normal"/>
        <w:jc w:val="both"/>
        <w:rPr>
          <w:b/>
          <w:u w:val="none"/>
        </w:rPr>
      </w:pPr>
      <w:r>
        <w:rPr>
          <w:b/>
          <w:u w:val="none"/>
        </w:rPr>
      </w:r>
    </w:p>
    <w:p>
      <w:pPr>
        <w:pStyle w:val="Normal"/>
        <w:jc w:val="both"/>
        <w:rPr/>
      </w:pPr>
      <w:r>
        <w:rPr>
          <w:b/>
        </w:rPr>
        <w:t xml:space="preserve">2. Availability of eNetMatch.  </w:t>
      </w:r>
      <w:r>
        <w:rPr/>
        <w:t>Subject to the terms of the Access Agreement, eNetMatch will be available during the times specified in the applicable User Guide or on the Chase Website from time to time.</w:t>
      </w:r>
      <w:r>
        <w:rPr>
          <w:b/>
        </w:rPr>
        <w:t xml:space="preserve"> </w:t>
      </w:r>
    </w:p>
    <w:p>
      <w:pPr>
        <w:pStyle w:val="Normal"/>
        <w:jc w:val="both"/>
        <w:rPr>
          <w:b/>
        </w:rPr>
      </w:pPr>
      <w:r>
        <w:rPr>
          <w:b/>
        </w:rPr>
      </w:r>
    </w:p>
    <w:p>
      <w:pPr>
        <w:pStyle w:val="Normal"/>
        <w:jc w:val="both"/>
        <w:rPr/>
      </w:pPr>
      <w:r>
        <w:rPr>
          <w:b/>
        </w:rPr>
        <w:t>3.  Chase Confirmation.</w:t>
      </w:r>
      <w:r>
        <w:rPr/>
        <w:t xml:space="preserve">  From time to time, Chase and the Customer may enter into Covered Transactions, either by telephone or through an electronic communications system approved by Chase (including, without limitation, the ChaseFX Electronic Trading System) or otherwise.  Chase will confirm that the parties have entered into a Covered Transaction by transmitting to the Customer through eNetMatch a confirmation setting forth the economic terms of such Covered Transaction (a “Confirmation”).  A Confirmation transmitted to the Customer through eNetMatch shall be deemed a confirmation under any applicable agreement (the “Applicable Agreement”) between Chase and the Customer governing the relevant Covered Transaction notwithstanding any provision of such Applicable Agreement to the contrary.  Such Covered Transaction will also be subject to the terms and conditions of the Access Agreement and any applicable Disclosures and User Guides, each as may be amended from time to time.  In the event of any conflict or inconsistency between the terms of any Confirmation and the terms of the Access Agreement, the terms of the Access Agreement will control.</w:t>
      </w:r>
    </w:p>
    <w:p>
      <w:pPr>
        <w:pStyle w:val="Normal"/>
        <w:jc w:val="both"/>
        <w:rPr/>
      </w:pPr>
      <w:r>
        <w:rPr/>
      </w:r>
    </w:p>
    <w:p>
      <w:pPr>
        <w:pStyle w:val="PlainText"/>
        <w:jc w:val="both"/>
        <w:rPr/>
      </w:pPr>
      <w:r>
        <w:rPr>
          <w:rFonts w:cs="Times New Roman" w:ascii="Times New Roman" w:hAnsi="Times New Roman"/>
          <w:b/>
          <w:sz w:val="24"/>
        </w:rPr>
        <w:t xml:space="preserve">4.  Customer Confirmation.  </w:t>
      </w:r>
      <w:r>
        <w:rPr>
          <w:rFonts w:cs="Times New Roman" w:ascii="Times New Roman" w:hAnsi="Times New Roman"/>
          <w:sz w:val="24"/>
        </w:rPr>
        <w:t xml:space="preserve">The Customer agrees to review each Confirmation promptly and either (i) to confirm to Chase that the trade data set forth therein is correct by clicking the “Confirm” button with respect to the relevant Covered Transaction on the Trade Detail page or (ii) to notify Chase promptly of any discrepancies by clicking the “Query with Chase” button with respect to such Covered Transaction on the Trade Detail page, and completing the query template that appears thereafter.  Any notations made by the Customer on the Trade Detail page will have no effect if the “Confirm” button is clicked with respect to the relevant Covered Transaction.  Notwithstanding anything to the contrary in any Applicable Agreement, each Confirmation will be deemed affirmed and accepted by the Customer if Chase has not received a query through eNetMatch (y) in respect of a foreign exchange spot transaction, within one Business Day (meaning any day on which the branch of Chase at which the relevant Covered Transaction is booked is not authorized or required by law to close) after the time that the relevant Covered Transaction is entered into and (z) in respect of any other Covered Transaction, within three Business Days after the time that the relevant Covered Transaction is entered into. If the Customer is acting for the benefit of itself and/or any affiliates, or is acting as agent on behalf of one or more of its customers, then it makes the additional representations and warranties and is bound by the agreements set forth in any Agent’s Annex hereto.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pPr>
      <w:r>
        <w:rPr>
          <w:rFonts w:cs="Times New Roman" w:ascii="Times New Roman" w:hAnsi="Times New Roman"/>
          <w:b/>
          <w:sz w:val="24"/>
        </w:rPr>
        <w:t>5.</w:t>
        <w:tab/>
        <w:t>Settlement Instructions.</w:t>
      </w:r>
      <w:r>
        <w:rPr>
          <w:rFonts w:cs="Times New Roman" w:ascii="Times New Roman" w:hAnsi="Times New Roman"/>
          <w:sz w:val="24"/>
        </w:rPr>
        <w:tab/>
        <w:t xml:space="preserve">The Customer may transmit and amend settlement instructions in respect of Covered Transactions that are confirmed through eNetMatch.  The Customer will access the settlement instructions feature of eNetMatch through the use of an identification code which will be generated by a SecurID token on a case by case basis or through the use of any other method that is provided by Chase to the Customer.  Any such code shall constitute an Access Code.  Not in limitation of the Access Agreement, the Customer acknowledges and agrees that the Customer shall be bound by any settlement instructions transmitted or amended through eNetMatch by means of its Access Code.    </w:t>
      </w:r>
    </w:p>
    <w:p>
      <w:pPr>
        <w:pStyle w:val="PlainText"/>
        <w:jc w:val="both"/>
        <w:rPr>
          <w:rFonts w:ascii="Times New Roman" w:hAnsi="Times New Roman" w:cs="Times New Roman"/>
          <w:sz w:val="24"/>
        </w:rPr>
      </w:pPr>
      <w:r>
        <w:rPr>
          <w:rFonts w:cs="Times New Roman" w:ascii="Times New Roman" w:hAnsi="Times New Roman"/>
          <w:sz w:val="24"/>
        </w:rPr>
        <w:t xml:space="preserve">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Dated: ________________________</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b/>
          <w:sz w:val="24"/>
        </w:rPr>
      </w:pPr>
      <w:r>
        <w:rPr>
          <w:rFonts w:cs="Times New Roman" w:ascii="Times New Roman" w:hAnsi="Times New Roman"/>
          <w:b/>
          <w:sz w:val="24"/>
        </w:rPr>
        <w:t>THE CHASE MANHATTAN BANK</w:t>
        <w:tab/>
        <w:tab/>
        <w:t>ENRON NORTH AMERICA</w:t>
      </w:r>
    </w:p>
    <w:p>
      <w:pPr>
        <w:pStyle w:val="PlainText"/>
        <w:jc w:val="both"/>
        <w:rPr>
          <w:rFonts w:ascii="Times New Roman" w:hAnsi="Times New Roman" w:cs="Times New Roman"/>
          <w:b/>
          <w:sz w:val="24"/>
        </w:rPr>
      </w:pPr>
      <w:r>
        <w:rPr>
          <w:rFonts w:cs="Times New Roman" w:ascii="Times New Roman" w:hAnsi="Times New Roman"/>
          <w:b/>
          <w:sz w:val="24"/>
        </w:rPr>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pPr>
      <w:r>
        <w:rPr>
          <w:rFonts w:cs="Times New Roman" w:ascii="Times New Roman" w:hAnsi="Times New Roman"/>
          <w:sz w:val="24"/>
        </w:rPr>
        <w:t xml:space="preserve">By: </w:t>
      </w:r>
      <w:r>
        <w:rPr>
          <w:rFonts w:cs="Times New Roman" w:ascii="Times New Roman" w:hAnsi="Times New Roman"/>
          <w:sz w:val="24"/>
          <w:u w:val="single"/>
        </w:rPr>
        <w:tab/>
        <w:tab/>
        <w:tab/>
        <w:tab/>
        <w:tab/>
      </w:r>
      <w:r>
        <w:rPr>
          <w:rFonts w:cs="Times New Roman" w:ascii="Times New Roman" w:hAnsi="Times New Roman"/>
          <w:sz w:val="24"/>
        </w:rPr>
        <w:tab/>
        <w:tab/>
        <w:t xml:space="preserve">By: </w:t>
      </w:r>
      <w:r>
        <w:rPr>
          <w:rFonts w:cs="Times New Roman" w:ascii="Times New Roman" w:hAnsi="Times New Roman"/>
          <w:sz w:val="24"/>
          <w:u w:val="single"/>
        </w:rPr>
        <w:tab/>
        <w:tab/>
        <w:tab/>
        <w:tab/>
        <w:tab/>
      </w:r>
    </w:p>
    <w:p>
      <w:pPr>
        <w:pStyle w:val="PlainText"/>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t>Title: _________________________</w:t>
        <w:tab/>
        <w:tab/>
        <w:tab/>
        <w:t xml:space="preserve">Title: _________________________ </w:t>
      </w:r>
    </w:p>
    <w:p>
      <w:pPr>
        <w:pStyle w:val="Normal"/>
        <w:rPr/>
      </w:pPr>
      <w:r>
        <w:rPr/>
      </w:r>
    </w:p>
    <w:sectPr>
      <w:footerReference w:type="default" r:id="rId2"/>
      <w:footerReference w:type="first" r:id="rId3"/>
      <w:type w:val="continuous"/>
      <w:pgSz w:w="12240" w:h="15840"/>
      <w:pgMar w:left="1440" w:right="1440" w:gutter="0" w:header="0" w:top="1440" w:footer="720" w:bottom="1440"/>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321423:v01</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810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8105" cy="160655"/>
                      </a:xfrm>
                      <a:prstGeom prst="rect"/>
                      <a:solidFill>
                        <a:srgbClr val="FFFFFF">
                          <a:alpha val="0"/>
                        </a:srgbClr>
                      </a:solidFill>
                    </wps:spPr>
                    <wps:txbx>
                      <w:txbxContent>
                        <w:p>
                          <w:pPr>
                            <w:pStyle w:val="Footer"/>
                            <w:rPr>
                              <w:rStyle w:val="PageNumbe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2</w:t>
                          </w:r>
                          <w:r>
                            <w:rPr>
                              <w:rStyle w:val="PageNumber"/>
                              <w:sz w:val="22"/>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6.15pt;height:12.65pt;mso-wrap-distance-left:0pt;mso-wrap-distance-right:0pt;mso-wrap-distance-top:0pt;mso-wrap-distance-bottom:0pt;margin-top:0.05pt;mso-position-vertical-relative:text;margin-left:230.95pt;mso-position-horizontal:center;mso-position-horizontal-relative:margin">
              <v:fill opacity="0f"/>
              <v:textbox inset="0in,0in,0in,0in">
                <w:txbxContent>
                  <w:p>
                    <w:pPr>
                      <w:pStyle w:val="Footer"/>
                      <w:rPr>
                        <w:rStyle w:val="PageNumbe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2</w:t>
                    </w:r>
                    <w:r>
                      <w:rPr>
                        <w:rStyle w:val="PageNumber"/>
                        <w:sz w:val="22"/>
                        <w:rFonts w:cs="Arial" w:ascii="Arial" w:hAnsi="Arial"/>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321423:v01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jc w:val="both"/>
    </w:pPr>
    <w:rPr>
      <w:rFonts w:ascii="Univers" w:hAnsi="Univers" w:cs="Univers"/>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PlainText">
    <w:name w:val="Plain Text"/>
    <w:basedOn w:val="Normal"/>
    <w:qFormat/>
    <w:pPr/>
    <w:rPr>
      <w:rFonts w:ascii="Courier New" w:hAnsi="Courier New" w:cs="Courier New"/>
      <w:sz w:val="20"/>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2001-10-17T18:06:00Z</dcterms:created>
  <dc:creator>vollkommerj</dc:creator>
  <dc:description/>
  <dc:language>en-CA</dc:language>
  <cp:lastModifiedBy>nemetzd</cp:lastModifiedBy>
  <cp:lastPrinted>2001-10-17T16:38:00Z</cp:lastPrinted>
  <dcterms:modified xsi:type="dcterms:W3CDTF">2001-10-17T18:08:00Z</dcterms:modified>
  <cp:revision>4</cp:revision>
  <dc:subject/>
  <dc:title>ChaseNetMatch Schedule to</dc:title>
</cp:coreProperties>
</file>