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footer5.xml" ContentType="application/vnd.openxmlformats-officedocument.wordprocessingml.footer+xml"/>
  <Override PartName="/word/media/image1.emf" ContentType="image/x-emf"/>
  <Override PartName="/word/header5.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sz w:val="28"/>
        </w:rPr>
      </w:pPr>
      <w:r>
        <w:rPr>
          <w:b/>
          <w:sz w:val="28"/>
        </w:rPr>
      </w:r>
    </w:p>
    <w:p>
      <w:pPr>
        <w:pStyle w:val="Normal"/>
        <w:widowControl w:val="false"/>
        <w:tabs>
          <w:tab w:val="clear" w:pos="720"/>
          <w:tab w:val="right" w:pos="10800" w:leader="none"/>
        </w:tabs>
        <w:rPr/>
      </w:pPr>
      <w:r>
        <w:rPr/>
        <w:t xml:space="preserve">This Base Contract is entered into as of the following date: </w:t>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u w:val="single"/>
        </w:rPr>
        <w:t>Morgan Stanley Capital Group Inc.</w:t>
        <w:tab/>
      </w:r>
      <w:r>
        <w:rPr/>
        <w:tab/>
        <w:t>and</w:t>
        <w:tab/>
      </w:r>
      <w:r>
        <w:rPr>
          <w:u w:val="single"/>
        </w:rPr>
        <w:t>Enron North America Corporation</w:t>
        <w:tab/>
      </w:r>
    </w:p>
    <w:p>
      <w:pPr>
        <w:pStyle w:val="Heading1"/>
        <w:ind w:hanging="0" w:start="0"/>
        <w:rPr/>
      </w:pPr>
      <w:r>
        <w:rPr/>
        <w:t xml:space="preserve">1585 Broadway </w:t>
        <w:tab/>
        <w:tab/>
        <w:t xml:space="preserve"> </w:t>
      </w:r>
      <w:r>
        <w:rPr>
          <w:u w:val="none"/>
        </w:rPr>
        <w:tab/>
      </w:r>
      <w:r>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4</w:t>
      </w:r>
      <w:r>
        <w:rPr>
          <w:u w:val="single"/>
          <w:vertAlign w:val="superscript"/>
        </w:rPr>
        <w:t>th</w:t>
      </w:r>
      <w:r>
        <w:rPr>
          <w:u w:val="single"/>
        </w:rPr>
        <w:t xml:space="preserve"> Floor Commodities Department</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New York , NY 10036</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u w:val="single"/>
        </w:rPr>
      </w:pPr>
      <w:r>
        <w:rPr/>
        <w:t xml:space="preserve">Duns # </w:t>
      </w:r>
      <w:r>
        <w:rPr>
          <w:u w:val="single"/>
        </w:rPr>
        <w:t>130198013</w:t>
        <w:tab/>
        <w:tab/>
      </w:r>
      <w:r>
        <w:rPr/>
        <w:tab/>
        <w:t xml:space="preserve">Duns # </w:t>
      </w:r>
      <w:r>
        <w:rPr>
          <w:u w:val="single"/>
        </w:rPr>
        <w:tab/>
        <w:tab/>
      </w:r>
      <w:r>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Marie Hansen</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212-761-5960</w:t>
        <w:tab/>
      </w:r>
      <w:r>
        <w:rPr/>
        <w:t xml:space="preserve"> Fax: </w:t>
      </w:r>
      <w:r>
        <w:rPr>
          <w:u w:val="single"/>
        </w:rPr>
        <w:t>212-761-0292</w:t>
        <w:tab/>
      </w:r>
      <w:r>
        <w:rPr/>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13-3200368</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1585 Broadway</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4</w:t>
      </w:r>
      <w:r>
        <w:rPr>
          <w:u w:val="single"/>
          <w:vertAlign w:val="superscript"/>
        </w:rPr>
        <w:t>th</w:t>
      </w:r>
      <w:r>
        <w:rPr>
          <w:u w:val="single"/>
        </w:rPr>
        <w:t xml:space="preserve"> Floor Commodities Department</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New York, NY 10036</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Marie Hansen</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212-761-5960</w:t>
        <w:tab/>
      </w:r>
      <w:r>
        <w:rPr/>
        <w:t xml:space="preserve">Fax: </w:t>
      </w:r>
      <w:r>
        <w:rPr>
          <w:u w:val="single"/>
        </w:rPr>
        <w:t>212-761-0292</w:t>
        <w:tab/>
      </w:r>
      <w:r>
        <w:rPr/>
        <w:tab/>
        <w:t xml:space="preserve">Phone: </w:t>
      </w:r>
      <w:r>
        <w:rPr>
          <w:u w:val="single"/>
        </w:rPr>
        <w:tab/>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Wire Transfer or ACH Nos. (if applicable)</w:t>
        <w:tab/>
        <w:tab/>
        <w:t>Wire Transfer or ACH Nos. (if applicable)</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u w:val="single"/>
        </w:rPr>
      </w:pPr>
      <w:r>
        <w:rPr>
          <w:b/>
          <w:u w:val="single"/>
        </w:rPr>
        <w:t>* Please refer to invoice for wire transfer instructions</w:t>
      </w:r>
      <w:r>
        <w:rPr>
          <w:u w:val="single"/>
        </w:rPr>
        <w:t>.</w:t>
        <w:tab/>
      </w:r>
      <w:r>
        <w:rPr/>
        <w:tab/>
      </w:r>
      <w:r>
        <w:rPr>
          <w:u w:val="single"/>
        </w:rPr>
        <w:tab/>
        <w:tab/>
      </w:r>
      <w:r>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ab/>
        <w:tab/>
      </w:r>
      <w:r>
        <w:rPr/>
        <w:tab/>
      </w:r>
      <w:r>
        <w:rPr>
          <w:u w:val="single"/>
        </w:rPr>
        <w:tab/>
        <w:tab/>
      </w:r>
    </w:p>
    <w:p>
      <w:pPr>
        <w:pStyle w:val="Heading1"/>
        <w:ind w:hanging="0" w:start="0"/>
        <w:rPr/>
      </w:pPr>
      <w:r>
        <w:rPr/>
        <w:tab/>
        <w:tab/>
      </w:r>
      <w:r>
        <w:rPr>
          <w:u w:val="none"/>
        </w:rPr>
        <w:tab/>
      </w:r>
      <w:r>
        <w:rPr/>
        <w:tab/>
        <w:tab/>
      </w:r>
    </w:p>
    <w:p>
      <w:pPr>
        <w:pStyle w:val="Heading1"/>
        <w:ind w:hanging="0" w:start="0"/>
        <w:rPr/>
      </w:pPr>
      <w:r>
        <w:rPr/>
        <w:tab/>
        <w:tab/>
      </w:r>
      <w:r>
        <w:rPr>
          <w:u w:val="none"/>
        </w:rPr>
        <w:tab/>
      </w:r>
      <w:r>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78"/>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78"/>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78"/>
            </w:r>
            <w:r>
              <w:rPr>
                <w:sz w:val="18"/>
              </w:rPr>
              <w:t xml:space="preserve"> </w:t>
            </w:r>
            <w:r>
              <w:rPr>
                <w:sz w:val="18"/>
              </w:rPr>
              <w:t>3 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The Business Day closest to the 25</w:t>
            </w:r>
            <w:r>
              <w:rPr>
                <w:sz w:val="18"/>
                <w:vertAlign w:val="superscript"/>
              </w:rPr>
              <w:t>th</w:t>
            </w:r>
            <w:r>
              <w:rPr>
                <w:sz w:val="18"/>
              </w:rPr>
              <w:t xml:space="preserve"> day of the Month following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78"/>
            </w:r>
            <w:r>
              <w:rPr>
                <w:b/>
                <w:sz w:val="18"/>
              </w:rPr>
              <w:t xml:space="preserve"> </w:t>
            </w:r>
            <w:r>
              <w:rPr>
                <w:b/>
                <w:sz w:val="18"/>
              </w:rPr>
              <w:t>Morgan Stanley</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78"/>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7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cs="Wingdings" w:ascii="Wingdings" w:hAnsi="Wingdings"/>
                <w:sz w:val="18"/>
              </w:rPr>
              <w:sym w:font="Wingdings" w:char="f0a8"/>
            </w:r>
            <w:r>
              <w:rPr>
                <w:sz w:val="18"/>
              </w:rPr>
              <w:t xml:space="preserve"> </w:t>
            </w:r>
            <w:r>
              <w:rPr>
                <w:sz w:val="18"/>
              </w:rPr>
              <w:t>Spot Price Standard</w:t>
            </w:r>
          </w:p>
        </w:tc>
        <w:tc>
          <w:tcPr>
            <w:tcW w:w="5039" w:type="dxa"/>
            <w:gridSpan w:val="2"/>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c>
          <w:tcPr>
            <w:tcW w:w="0" w:type="dxa"/>
            <w:vMerge w:val="continue"/>
            <w:tcBorders>
              <w:top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5400"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0" w:type="dxa"/>
            <w:vMerge w:val="continue"/>
            <w:tcBorders>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ind w:hanging="345" w:start="345" w:end="0"/>
              <w:rPr>
                <w:b/>
                <w:sz w:val="18"/>
              </w:rPr>
            </w:pPr>
            <w:r>
              <w:rPr>
                <w:b/>
                <w:sz w:val="18"/>
              </w:rPr>
            </w:r>
          </w:p>
        </w:tc>
        <w:tc>
          <w:tcPr>
            <w:tcW w:w="5039"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CHOICE OF LAW:  State of New York</w:t>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5400" w:type="dxa"/>
            <w:gridSpan w:val="2"/>
            <w:tcBorders>
              <w:start w:val="single" w:sz="6" w:space="0" w:color="000000"/>
              <w:bottom w:val="single" w:sz="6" w:space="0" w:color="000000"/>
            </w:tcBorders>
          </w:tcPr>
          <w:p>
            <w:pPr>
              <w:pStyle w:val="Heading2"/>
              <w:ind w:hanging="0" w:start="0"/>
              <w:rPr/>
            </w:pPr>
            <w:r>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w:t>
            </w:r>
            <w:r>
              <w:rPr>
                <w:b/>
                <w:sz w:val="18"/>
              </w:rPr>
              <w:t xml:space="preserve">: </w:t>
            </w:r>
            <w:r>
              <w:rPr>
                <w:b/>
                <w:sz w:val="18"/>
                <w:u w:val="single"/>
              </w:rPr>
              <w:t>Gas Daily (for Deliveries in US) Canadian Gas Price Reporter (for Deliveries in Canada)</w:t>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c>
          <w:tcPr>
            <w:tcW w:w="5039" w:type="dxa"/>
            <w:gridSpan w:val="2"/>
            <w:tcBorders>
              <w:start w:val="single" w:sz="6" w:space="0" w:color="000000"/>
              <w:bottom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cs="Wingdings" w:ascii="Wingdings" w:hAnsi="Wingdings"/>
                <w:sz w:val="18"/>
              </w:rPr>
              <w:sym w:font="Wingdings" w:char="f078"/>
            </w:r>
            <w:r>
              <w:rPr>
                <w:b/>
                <w:sz w:val="18"/>
              </w:rPr>
              <w:t xml:space="preserve">  </w:t>
            </w:r>
            <w:r>
              <w:rPr>
                <w:b/>
                <w:sz w:val="18"/>
              </w:rPr>
              <w:t xml:space="preserve">Special Provisions:  </w:t>
            </w:r>
            <w:r>
              <w:rPr>
                <w:sz w:val="18"/>
              </w:rPr>
              <w:t xml:space="preserve">Number of sheets attached:  </w:t>
            </w:r>
            <w:r>
              <w:rPr/>
              <w:t>Seven (7)</w:t>
            </w:r>
          </w:p>
        </w:tc>
        <w:tc>
          <w:tcPr>
            <w:tcW w:w="0" w:type="dxa"/>
            <w:vMerge w:val="continue"/>
            <w:tcBorders>
              <w:top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c>
          <w:tcPr>
            <w:tcW w:w="0" w:type="dxa"/>
            <w:vMerge w:val="continue"/>
            <w:tcBorders>
              <w:top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c>
          <w:tcPr>
            <w:tcW w:w="0" w:type="dxa"/>
            <w:vMerge w:val="continue"/>
            <w:tcBorders>
              <w:top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rFonts w:ascii="Wingdings" w:hAnsi="Wingdings" w:cs="Wingdings"/>
                <w:b/>
                <w:sz w:val="18"/>
              </w:rPr>
            </w:pPr>
            <w:r>
              <w:rPr>
                <w:rFonts w:cs="Wingdings" w:ascii="Wingdings" w:hAnsi="Wingdings"/>
                <w:b/>
                <w:sz w:val="18"/>
              </w:rPr>
            </w:r>
          </w:p>
        </w:tc>
        <w:tc>
          <w:tcPr>
            <w:tcW w:w="0" w:type="dxa"/>
            <w:vMerge w:val="continue"/>
            <w:tcBorders>
              <w:top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rFonts w:ascii="Wingdings" w:hAnsi="Wingdings" w:cs="Wingdings"/>
                <w:b/>
                <w:sz w:val="18"/>
              </w:rPr>
            </w:pPr>
            <w:r>
              <w:rPr>
                <w:rFonts w:cs="Wingdings" w:ascii="Wingdings" w:hAnsi="Wingdings"/>
                <w:b/>
                <w:sz w:val="18"/>
              </w:rPr>
            </w:r>
          </w:p>
        </w:tc>
        <w:tc>
          <w:tcPr>
            <w:tcW w:w="0" w:type="dxa"/>
            <w:vMerge w:val="continue"/>
            <w:tcBorders>
              <w:top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c>
          <w:tcPr>
            <w:tcW w:w="0" w:type="dxa"/>
            <w:vMerge w:val="continue"/>
            <w:tcBorders>
              <w:top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ind w:hanging="5040" w:start="5040" w:end="0"/>
        <w:rPr/>
      </w:pPr>
      <w:r>
        <w:rPr>
          <w:u w:val="single"/>
        </w:rPr>
        <w:t>Morgan Stanley Capital Group Inc.</w:t>
        <w:tab/>
      </w:r>
      <w:r>
        <w:rPr/>
        <w:tab/>
        <w:tab/>
      </w:r>
      <w:r>
        <w:rPr>
          <w:u w:val="single"/>
        </w:rPr>
        <w:t>Enron North America Corporation</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(Party Name)</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sectPr>
          <w:headerReference w:type="default" r:id="rId2"/>
          <w:footerReference w:type="default" r:id="rId3"/>
          <w:type w:val="nextPage"/>
          <w:pgSz w:w="12240" w:h="15840"/>
          <w:pgMar w:left="720" w:right="720" w:gutter="0" w:header="576" w:top="720" w:footer="500" w:bottom="576"/>
          <w:pgNumType w:fmt="decimal"/>
          <w:formProt w:val="false"/>
          <w:textDirection w:val="lrTb"/>
          <w:docGrid w:type="default" w:linePitch="360" w:charSpace="0"/>
        </w:sect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rPr>
        <w:t>i</w:t>
      </w:r>
      <w:r>
        <w:rPr>
          <w:spacing w:val="-4"/>
        </w:rPr>
        <w:t>) a Transaction Confirmation, (</w:t>
      </w:r>
      <w:r>
        <w:rPr>
          <w:spacing w:val="-4"/>
          <w:lang w:val="en-CA"/>
        </w:rPr>
        <w:t>ii</w:t>
      </w:r>
      <w:r>
        <w:rPr>
          <w:spacing w:val="-4"/>
        </w:rPr>
        <w:t>) the Base Contract, and (</w:t>
      </w:r>
      <w:r>
        <w:rPr>
          <w:spacing w:val="-4"/>
          <w:lang w:val="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rPr>
        <w:t>i</w:t>
      </w:r>
      <w:r>
        <w:rPr>
          <w:spacing w:val="-6"/>
        </w:rPr>
        <w:t>) the Base Contract and (</w:t>
      </w:r>
      <w:r>
        <w:rPr>
          <w:spacing w:val="-6"/>
          <w:lang w:val="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rPr>
        <w:t>i</w:t>
      </w:r>
      <w:r>
        <w:rPr>
          <w:spacing w:val="-6"/>
        </w:rPr>
        <w:t>) the price (determined as stated above) for the first Day for which a price or range of prices is published that next precedes the relevant Day; and (</w:t>
      </w:r>
      <w:r>
        <w:rPr>
          <w:spacing w:val="-6"/>
          <w:lang w:val="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r>
        <w:fldChar w:fldCharType="begin"/>
      </w:r>
      <w:r>
        <w:rPr/>
        <w:instrText xml:space="preserve"> TC "SECTION  4. TRANSPORTATION, NOMINATIONS AND IMBALANCES"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rPr>
        <w:t>i</w:t>
      </w:r>
      <w:r>
        <w:rPr>
          <w:spacing w:val="-6"/>
        </w:rPr>
        <w:t>) the then-effective prime rate of interest published under "Money Rates" by The Wall Street Journal, plus two percent per annum from the date due until the date of payment; or (</w:t>
      </w:r>
      <w:r>
        <w:rPr>
          <w:spacing w:val="-6"/>
          <w:lang w:val="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9.2.</w:t>
        <w:tab/>
        <w:t xml:space="preserve">All Notices required hereunder may be sent by facsimile or mutually acceptable electronic means, a nationally recognized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 xml:space="preserve">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rPr>
        <w:t>i</w:t>
      </w:r>
      <w:r>
        <w:rPr>
          <w:spacing w:val="-3"/>
        </w:rPr>
        <w:t>) make an assignment or any general arrangement for the benefit of creditors; (</w:t>
      </w:r>
      <w:r>
        <w:rPr>
          <w:spacing w:val="-3"/>
          <w:lang w:val="en-CA"/>
        </w:rPr>
        <w:t>ii</w:t>
      </w:r>
      <w:r>
        <w:rPr>
          <w:spacing w:val="-3"/>
        </w:rPr>
        <w:t>) default in the payment obligation to the other party; (</w:t>
      </w:r>
      <w:r>
        <w:rPr>
          <w:spacing w:val="-3"/>
          <w:lang w:val="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rPr>
        <w:t>iv</w:t>
      </w:r>
      <w:r>
        <w:rPr>
          <w:spacing w:val="-3"/>
        </w:rPr>
        <w:t>) otherwise become bankrupt or insolvent (however evidenced); or (</w:t>
      </w:r>
      <w:r>
        <w:rPr>
          <w:spacing w:val="-3"/>
          <w:lang w:val="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rPr>
        <w:t>ii</w:t>
      </w:r>
      <w:r>
        <w:rPr>
          <w:spacing w:val="-3"/>
        </w:rPr>
        <w:t>) weather related events affecting an entire geographic region, such as low temperatures which cause freezing or failure of wells or lines of pipe; (</w:t>
      </w:r>
      <w:r>
        <w:rPr>
          <w:spacing w:val="-3"/>
          <w:lang w:val="en-CA"/>
        </w:rPr>
        <w:t>iii</w:t>
      </w:r>
      <w:r>
        <w:rPr>
          <w:spacing w:val="-3"/>
        </w:rPr>
        <w:t>) interruption of firm transportation and/or storage by Transporters; (</w:t>
      </w:r>
      <w:r>
        <w:rPr>
          <w:spacing w:val="-3"/>
          <w:lang w:val="en-CA"/>
        </w:rPr>
        <w:t>iv</w:t>
      </w:r>
      <w:r>
        <w:rPr>
          <w:spacing w:val="-3"/>
        </w:rPr>
        <w:t>) acts of others such as strikes, lockouts or other industrial disturbances, riots, sabotage, insurrections or wars; and (</w:t>
      </w:r>
      <w:r>
        <w:rPr>
          <w:spacing w:val="-3"/>
          <w:lang w:val="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rPr>
        <w:t>i</w:t>
      </w:r>
      <w:r>
        <w:rPr>
          <w:spacing w:val="-3"/>
        </w:rPr>
        <w:t>) the curtailment of interruptible or secondary firm transportation unless primary, in-path, firm transportation is also curtailed; (</w:t>
      </w:r>
      <w:r>
        <w:rPr>
          <w:spacing w:val="-3"/>
          <w:lang w:val="en-CA"/>
        </w:rPr>
        <w:t>ii</w:t>
      </w:r>
      <w:r>
        <w:rPr>
          <w:spacing w:val="-3"/>
        </w:rPr>
        <w:t>) the party claiming excuse failed to remedy the condition and to resume the performance of such covenants or obligations with reasonable dispatch; or (</w:t>
      </w:r>
      <w:r>
        <w:rPr>
          <w:spacing w:val="-3"/>
          <w:lang w:val="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12.  TERM</w:t>
      </w:r>
      <w:r>
        <w:fldChar w:fldCharType="begin"/>
      </w:r>
      <w:r>
        <w:rPr/>
        <w:instrText xml:space="preserve"> TC "SECTION 12.  TERM"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r>
        <w:fldChar w:fldCharType="begin"/>
      </w:r>
      <w:r>
        <w:rPr/>
        <w:instrText xml:space="preserve"> TC "SECTION 13.  MISCELLANEOUS"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sectPr>
          <w:headerReference w:type="default" r:id="rId4"/>
          <w:headerReference w:type="first" r:id="rId5"/>
          <w:footerReference w:type="default" r:id="rId6"/>
          <w:footerReference w:type="first" r:id="rId7"/>
          <w:type w:val="nextPage"/>
          <w:pgSz w:w="12240" w:h="15840"/>
          <w:pgMar w:left="720" w:right="720" w:gutter="0" w:header="576" w:top="632" w:footer="288" w:bottom="344"/>
          <w:pgNumType w:fmt="decimal"/>
          <w:formProt w:val="false"/>
          <w:textDirection w:val="lrTb"/>
          <w:docGrid w:type="default" w:linePitch="360" w:charSpace="0"/>
        </w:sect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rPr>
      </w:pPr>
      <w:r>
        <w:rPr>
          <w:vanish/>
        </w:rPr>
      </w:r>
    </w:p>
    <w:p>
      <w:pPr>
        <w:sectPr>
          <w:headerReference w:type="default" r:id="rId8"/>
          <w:headerReference w:type="first" r:id="rId9"/>
          <w:footerReference w:type="default" r:id="rId10"/>
          <w:footerReference w:type="first" r:id="rId11"/>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48">
                <wp:simplePos x="0" y="0"/>
                <wp:positionH relativeFrom="margin">
                  <wp:posOffset>3829685</wp:posOffset>
                </wp:positionH>
                <wp:positionV relativeFrom="paragraph">
                  <wp:posOffset>278130</wp:posOffset>
                </wp:positionV>
                <wp:extent cx="2840990" cy="838200"/>
                <wp:effectExtent l="0" t="0" r="0" b="0"/>
                <wp:wrapNone/>
                <wp:docPr id="10"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199__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c>
          <w:tcPr>
            <w:tcW w:w="0" w:type="dxa"/>
            <w:vMerge w:val="continue"/>
            <w:tcBorders>
              <w:top w:val="doub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 w:val="left" w:pos="10800" w:leader="none"/>
              </w:tabs>
              <w:snapToGrid w:val="false"/>
              <w:spacing w:before="0" w:after="58"/>
              <w:rPr/>
            </w:pPr>
            <w:r>
              <w:rPr/>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right" w:pos="1071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199</w:t>
            </w:r>
            <w:r>
              <w:rPr>
                <w:u w:val="single"/>
              </w:rPr>
              <w:t>  </w:t>
            </w:r>
            <w:r>
              <w:rPr/>
              <w:t xml:space="preserve">                                End: </w:t>
            </w:r>
            <w:r>
              <w:rPr>
                <w:u w:val="single"/>
              </w:rPr>
              <w:t>                   </w:t>
            </w:r>
            <w:r>
              <w:rPr/>
              <w:t>, 199</w:t>
            </w:r>
            <w:r>
              <w:rPr>
                <w:u w:val="single"/>
              </w:rPr>
              <w:t>  </w:t>
            </w:r>
            <w:r>
              <w:rPr/>
              <w:t xml:space="preserve"> </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napToGrid w:val="false"/>
              <w:spacing w:before="0" w:after="58"/>
              <w:ind w:firstLine="4050" w:end="0"/>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s>
              <w:snapToGrid w:val="false"/>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sz w:val="18"/>
      </w:rPr>
      <w:t>Copyright © 1996 Gas Industry Standards Board, Inc.</w:t>
    </w:r>
    <w:r>
      <w:rPr/>
      <w:tab/>
      <w:tab/>
      <w:tab/>
      <w:tab/>
      <w:tab/>
      <w:tab/>
      <w:tab/>
      <w:t xml:space="preserve">        GISB Standard 6.3.1</w:t>
    </w:r>
    <w:r>
      <mc:AlternateContent>
        <mc:Choice Requires="wps">
          <w:drawing>
            <wp:anchor behindDoc="1" distT="0" distB="0" distL="114935" distR="114935" simplePos="0" locked="0" layoutInCell="0" allowOverlap="1" relativeHeight="7">
              <wp:simplePos x="0" y="0"/>
              <wp:positionH relativeFrom="margin">
                <wp:posOffset>24130</wp:posOffset>
              </wp:positionH>
              <wp:positionV relativeFrom="paragraph">
                <wp:posOffset>-100965</wp:posOffset>
              </wp:positionV>
              <wp:extent cx="6809740" cy="1829435"/>
              <wp:effectExtent l="0" t="0" r="0" b="0"/>
              <wp:wrapNone/>
              <wp:docPr id="3" name="Frame2"/>
              <a:graphic xmlns:a="http://schemas.openxmlformats.org/drawingml/2006/main">
                <a:graphicData uri="http://schemas.microsoft.com/office/word/2010/wordprocessingShape">
                  <wps:wsp>
                    <wps:cNvSpPr txBox="1"/>
                    <wps:spPr>
                      <a:xfrm>
                        <a:off x="0" y="0"/>
                        <a:ext cx="6809740" cy="1829435"/>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536.2pt;height:144.05pt;mso-wrap-distance-left:9.05pt;mso-wrap-distance-right:9.05pt;mso-wrap-distance-top:0pt;mso-wrap-distance-bottom:0pt;margin-top:-7.95pt;mso-position-vertical-relative:text;margin-left:1.9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t>All Rights Reserved</w:t>
      <w:tab/>
      <w:tab/>
      <w:tab/>
      <w:tab/>
      <w:tab/>
      <w:tab/>
      <w:tab/>
      <w:tab/>
      <w:tab/>
      <w:tab/>
      <w:tab/>
      <w:t xml:space="preserve">      May 13, 1996</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rPr>
    </w:pPr>
    <w:r>
      <w:rPr>
        <w:rFonts w:cs="CG Times" w:ascii="CG Times" w:hAnsi="CG Times"/>
        <w:sz w:val="24"/>
        <w:lang w:val="en-CA"/>
      </w:rPr>
      <mc:AlternateContent>
        <mc:Choice Requires="wps">
          <w:drawing>
            <wp:anchor behindDoc="1" distT="0" distB="0" distL="114935" distR="114935" simplePos="0" locked="0" layoutInCell="0" allowOverlap="1" relativeHeight="21">
              <wp:simplePos x="0" y="0"/>
              <wp:positionH relativeFrom="page">
                <wp:posOffset>914400</wp:posOffset>
              </wp:positionH>
              <wp:positionV relativeFrom="paragraph">
                <wp:posOffset>635</wp:posOffset>
              </wp:positionV>
              <wp:extent cx="5943600" cy="12065"/>
              <wp:effectExtent l="0" t="635" r="0" b="0"/>
              <wp:wrapNone/>
              <wp:docPr id="6"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 Gas Industry Standards Board, Inc.</w:t>
    </w:r>
    <w:r>
      <w:rPr>
        <w:rFonts w:cs="CG Times" w:ascii="CG Times" w:hAnsi="CG Times"/>
        <w:sz w:val="18"/>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 xml:space="preserve"> of 7</w:t>
    </w:r>
    <w:r>
      <w:rPr>
        <w:rFonts w:cs="CG Times" w:ascii="CG Times" w:hAnsi="CG Times"/>
        <w:sz w:val="18"/>
      </w:rPr>
      <w:tab/>
    </w:r>
    <w:r>
      <w:rPr>
        <w:sz w:val="18"/>
      </w:rPr>
      <w:t>GISB Standard 6.3.1</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r>
    <w:r>
      <w:rPr>
        <w:sz w:val="18"/>
      </w:rPr>
      <w:t>May 13, 1996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rPr>
    </w:pPr>
    <w:r>
      <w:rPr>
        <w:rFonts w:cs="CG Times" w:ascii="CG Times" w:hAnsi="CG Times"/>
        <w:sz w:val="24"/>
        <w:lang w:val="en-CA"/>
      </w:rPr>
      <mc:AlternateContent>
        <mc:Choice Requires="wps">
          <w:drawing>
            <wp:anchor behindDoc="1" distT="0" distB="0" distL="114935" distR="114935" simplePos="0" locked="0" layoutInCell="0" allowOverlap="1" relativeHeight="23">
              <wp:simplePos x="0" y="0"/>
              <wp:positionH relativeFrom="page">
                <wp:posOffset>914400</wp:posOffset>
              </wp:positionH>
              <wp:positionV relativeFrom="paragraph">
                <wp:posOffset>635</wp:posOffset>
              </wp:positionV>
              <wp:extent cx="5943600" cy="12065"/>
              <wp:effectExtent l="0" t="635" r="0" b="0"/>
              <wp:wrapNone/>
              <wp:docPr id="9"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 Gas Industry Standards Board, Inc.</w:t>
    </w:r>
    <w:r>
      <w:rPr>
        <w:rFonts w:cs="CG Times" w:ascii="CG Times" w:hAnsi="CG Times"/>
        <w:sz w:val="18"/>
      </w:rPr>
      <w:tab/>
      <w:tab/>
    </w:r>
    <w:r>
      <w:rPr>
        <w:sz w:val="18"/>
      </w:rPr>
      <w:t>GISB Standard 6.3.1</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r>
    <w:r>
      <w:rPr>
        <w:sz w:val="18"/>
      </w:rPr>
      <w:t>May 13, 1996</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3">
              <wp:simplePos x="0" y="0"/>
              <wp:positionH relativeFrom="column">
                <wp:align>left</wp:align>
              </wp:positionH>
              <wp:positionV relativeFrom="line">
                <wp:posOffset>635</wp:posOffset>
              </wp:positionV>
              <wp:extent cx="6858000" cy="293370"/>
              <wp:effectExtent l="0" t="0" r="0" b="0"/>
              <wp:wrapNone/>
              <wp:docPr id="1" name="Frame3"/>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jc w:val="center"/>
                            <w:rPr/>
                          </w:pPr>
                          <w:r>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5">
              <wp:simplePos x="0" y="0"/>
              <wp:positionH relativeFrom="page">
                <wp:posOffset>1937385</wp:posOffset>
              </wp:positionH>
              <wp:positionV relativeFrom="page">
                <wp:posOffset>2012315</wp:posOffset>
              </wp:positionV>
              <wp:extent cx="4211320" cy="4992370"/>
              <wp:effectExtent l="0" t="0" r="0" b="0"/>
              <wp:wrapSquare wrapText="bothSides"/>
              <wp:docPr id="2" name="Frame4"/>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sz w:val="24"/>
                            </w:rPr>
                          </w:pPr>
                          <w:r>
                            <w:rPr/>
                            <w:object w:dxaOrig="6604" w:dyaOrig="7872">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0.2pt;height:393.6pt" filled="f" o:ole="">
                                <v:imagedata r:id="rId2" o:title=""/>
                              </v:shape>
                              <o:OLEObject Type="Embed" ProgID="" ShapeID="ole_rId1" DrawAspect="Content" ObjectID="_1236156491" r:id="rId1"/>
                            </w:object>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sz w:val="24"/>
                      </w:rPr>
                    </w:pPr>
                    <w:r>
                      <w:rPr/>
                      <w:object w:dxaOrig="6604" w:dyaOrig="7872">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30.2pt;height:393.6pt" filled="f" o:ole="">
                          <v:imagedata r:id="rId4" o:title=""/>
                        </v:shape>
                        <o:OLEObject Type="Embed" ProgID="" ShapeID="ole_rId3" DrawAspect="Content" ObjectID="_1165387226" r:id="rId3"/>
                      </w:object>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52">
              <wp:simplePos x="0" y="0"/>
              <wp:positionH relativeFrom="column">
                <wp:align>left</wp:align>
              </wp:positionH>
              <wp:positionV relativeFrom="line">
                <wp:posOffset>635</wp:posOffset>
              </wp:positionV>
              <wp:extent cx="6858000" cy="293370"/>
              <wp:effectExtent l="0" t="0" r="0" b="0"/>
              <wp:wrapNone/>
              <wp:docPr id="4" name="Frame5"/>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jc w:val="center"/>
                            <w:rPr/>
                          </w:pPr>
                          <w:r>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24">
              <wp:simplePos x="0" y="0"/>
              <wp:positionH relativeFrom="page">
                <wp:posOffset>1937385</wp:posOffset>
              </wp:positionH>
              <wp:positionV relativeFrom="page">
                <wp:posOffset>2012315</wp:posOffset>
              </wp:positionV>
              <wp:extent cx="4211320" cy="4992370"/>
              <wp:effectExtent l="0" t="0" r="0" b="0"/>
              <wp:wrapSquare wrapText="bothSides"/>
              <wp:docPr id="5" name="Frame8"/>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pPr>
                          <w:r>
                            <w:rPr/>
                            <w:object w:dxaOrig="6604" w:dyaOrig="7872">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0.2pt;height:393.6pt" filled="f" o:ole="">
                                <v:imagedata r:id="rId2" o:title=""/>
                              </v:shape>
                              <o:OLEObject Type="Embed" ProgID="" ShapeID="ole_rId1" DrawAspect="Content" ObjectID="_834716934" r:id="rId1"/>
                            </w:object>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pPr>
                    <w:r>
                      <w:rPr/>
                      <w:object w:dxaOrig="6604" w:dyaOrig="7872">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30.2pt;height:393.6pt" filled="f" o:ole="">
                          <v:imagedata r:id="rId4" o:title=""/>
                        </v:shape>
                        <o:OLEObject Type="Embed" ProgID="" ShapeID="ole_rId3" DrawAspect="Content" ObjectID="_337144238" r:id="rId3"/>
                      </w:object>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53">
              <wp:simplePos x="0" y="0"/>
              <wp:positionH relativeFrom="column">
                <wp:align>left</wp:align>
              </wp:positionH>
              <wp:positionV relativeFrom="line">
                <wp:posOffset>635</wp:posOffset>
              </wp:positionV>
              <wp:extent cx="6858000" cy="293370"/>
              <wp:effectExtent l="0" t="0" r="0" b="0"/>
              <wp:wrapNone/>
              <wp:docPr id="7" name="Frame6"/>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jc w:val="center"/>
                            <w:rPr/>
                          </w:pPr>
                          <w:r>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16">
              <wp:simplePos x="0" y="0"/>
              <wp:positionH relativeFrom="page">
                <wp:posOffset>1937385</wp:posOffset>
              </wp:positionH>
              <wp:positionV relativeFrom="page">
                <wp:posOffset>2012315</wp:posOffset>
              </wp:positionV>
              <wp:extent cx="4211320" cy="4992370"/>
              <wp:effectExtent l="0" t="0" r="0" b="0"/>
              <wp:wrapSquare wrapText="bothSides"/>
              <wp:docPr id="8" name="Frame9"/>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pPr>
                          <w:r>
                            <w:rPr/>
                            <w:object w:dxaOrig="6604" w:dyaOrig="7872">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0.2pt;height:393.6pt" filled="f" o:ole="">
                                <v:imagedata r:id="rId2" o:title=""/>
                              </v:shape>
                              <o:OLEObject Type="Embed" ProgID="" ShapeID="ole_rId1" DrawAspect="Content" ObjectID="_291118872" r:id="rId1"/>
                            </w:object>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pPr>
                    <w:r>
                      <w:rPr/>
                      <w:object w:dxaOrig="6604" w:dyaOrig="7872">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30.2pt;height:393.6pt" filled="f" o:ole="">
                          <v:imagedata r:id="rId4" o:title=""/>
                        </v:shape>
                        <o:OLEObject Type="Embed" ProgID="" ShapeID="ole_rId3" DrawAspect="Content" ObjectID="_1498779544" r:id="rId3"/>
                      </w:object>
                    </w:r>
                  </w:p>
                </w:txbxContent>
              </v:textbox>
              <w10:wrap type="squar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tabs>
        <w:tab w:val="clear" w:pos="720"/>
        <w:tab w:val="left" w:pos="0" w:leader="none"/>
        <w:tab w:val="center" w:pos="2520" w:leader="none"/>
        <w:tab w:val="right" w:pos="5040" w:leader="none"/>
        <w:tab w:val="left" w:pos="5760" w:leader="none"/>
        <w:tab w:val="center" w:pos="8280" w:leader="none"/>
        <w:tab w:val="right" w:pos="10800" w:leader="none"/>
      </w:tabs>
      <w:outlineLvl w:val="0"/>
    </w:pPr>
    <w:rPr>
      <w:u w:val="single"/>
    </w:rPr>
  </w:style>
  <w:style w:type="paragraph" w:styleId="Heading2">
    <w:name w:val="heading 2"/>
    <w:basedOn w:val="Normal"/>
    <w:next w:val="Normal"/>
    <w:qFormat/>
    <w:pPr>
      <w:keepNext w:val="true"/>
      <w:widowControl w:val="false"/>
      <w:numPr>
        <w:ilvl w:val="1"/>
        <w:numId w:val="1"/>
      </w:numPr>
      <w:tabs>
        <w:tab w:val="left" w:pos="0" w:leader="none"/>
        <w:tab w:val="left" w:pos="345" w:leader="none"/>
        <w:tab w:val="left" w:pos="720" w:leader="none"/>
        <w:tab w:val="left" w:pos="1440" w:leader="none"/>
        <w:tab w:val="left" w:pos="2160" w:leader="none"/>
        <w:tab w:val="left" w:pos="2880" w:leader="none"/>
        <w:tab w:val="left" w:pos="3600" w:leader="none"/>
      </w:tabs>
      <w:outlineLvl w:val="1"/>
    </w:pPr>
    <w:rPr>
      <w:b/>
      <w:sz w:val="18"/>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emf"/><Relationship Id="rId3" Type="http://schemas.openxmlformats.org/officeDocument/2006/relationships/oleObject" Target="embeddings/oleObject2.bin"/><Relationship Id="rId4" Type="http://schemas.openxmlformats.org/officeDocument/2006/relationships/image" Target="media/image1.emf"/>
</Relationships>
</file>

<file path=word/_rels/header2.xml.rels><?xml version="1.0" encoding="UTF-8"?>
<Relationships xmlns="http://schemas.openxmlformats.org/package/2006/relationships"><Relationship Id="rId1" Type="http://schemas.openxmlformats.org/officeDocument/2006/relationships/oleObject" Target="embeddings/oleObject3.bin"/><Relationship Id="rId2" Type="http://schemas.openxmlformats.org/officeDocument/2006/relationships/image" Target="media/image1.emf"/><Relationship Id="rId3" Type="http://schemas.openxmlformats.org/officeDocument/2006/relationships/oleObject" Target="embeddings/oleObject4.bin"/><Relationship Id="rId4" Type="http://schemas.openxmlformats.org/officeDocument/2006/relationships/image" Target="media/image1.emf"/>
</Relationships>
</file>

<file path=word/_rels/header4.xml.rels><?xml version="1.0" encoding="UTF-8"?>
<Relationships xmlns="http://schemas.openxmlformats.org/package/2006/relationships"><Relationship Id="rId1" Type="http://schemas.openxmlformats.org/officeDocument/2006/relationships/oleObject" Target="embeddings/oleObject5.bin"/><Relationship Id="rId2" Type="http://schemas.openxmlformats.org/officeDocument/2006/relationships/image" Target="media/image1.emf"/><Relationship Id="rId3" Type="http://schemas.openxmlformats.org/officeDocument/2006/relationships/oleObject" Target="embeddings/oleObject6.bin"/><Relationship Id="rId4"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2001-03-09T19:16:00Z</dcterms:created>
  <dc:creator>EPNG</dc:creator>
  <dc:description/>
  <dc:language>en-CA</dc:language>
  <cp:lastModifiedBy>Daniel Garcia</cp:lastModifiedBy>
  <cp:lastPrinted>1998-04-20T18:27:00Z</cp:lastPrinted>
  <dcterms:modified xsi:type="dcterms:W3CDTF">2001-03-09T19:17:00Z</dcterms:modified>
  <cp:revision>3</cp:revision>
  <dc:subject/>
  <dc:title>BASE CONTRACT FOR SHORT-TERM</dc:title>
</cp:coreProperties>
</file>