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pPr>
      <w:r>
        <w:rPr/>
        <w:t>NET SETTLEMENT AGREEMENT</w:t>
      </w:r>
    </w:p>
    <w:p>
      <w:pPr>
        <w:pStyle w:val="Normal"/>
        <w:jc w:val="center"/>
        <w:rPr/>
      </w:pPr>
      <w:r>
        <w:rPr/>
      </w:r>
    </w:p>
    <w:p>
      <w:pPr>
        <w:pStyle w:val="Normal"/>
        <w:jc w:val="center"/>
        <w:rPr/>
      </w:pPr>
      <w:r>
        <w:rPr/>
      </w:r>
    </w:p>
    <w:p>
      <w:pPr>
        <w:pStyle w:val="Normal"/>
        <w:jc w:val="center"/>
        <w:rPr/>
      </w:pPr>
      <w:r>
        <w:rPr/>
      </w:r>
    </w:p>
    <w:p>
      <w:pPr>
        <w:pStyle w:val="Normal"/>
        <w:rPr/>
      </w:pPr>
      <w:r>
        <w:rPr/>
        <w:t>The following constitutes the understanding whereby each party hereto agrees to establish a Net Settlement Agreement (hereafter referred to as the “Net-Out Agreement”) for natural gas purchased, sold and/or exchanged each month between PanCanadian Petroleum Limited (hereafter called “PanCanadian”) and Enron North America Corp. (hereafter called “Enron”).</w:t>
      </w:r>
    </w:p>
    <w:p>
      <w:pPr>
        <w:pStyle w:val="Normal"/>
        <w:rPr/>
      </w:pPr>
      <w:r>
        <w:rPr/>
      </w:r>
    </w:p>
    <w:p>
      <w:pPr>
        <w:pStyle w:val="Normal"/>
        <w:rPr/>
      </w:pPr>
      <w:r>
        <w:rPr/>
        <w:t>This Net-Out Agreement shall be effective from August 1, 2000 and shall continue in effect so long as PanCanadian and Enron continue to purchase, sell, or exchange natural gas with each other, provided that either party may terminate this Net-Out Agreement, without affecting any existing purchase, sale, or exchange contract between the parties, by giving at least sixty (60) days advance written notice to the other party.</w:t>
      </w:r>
    </w:p>
    <w:p>
      <w:pPr>
        <w:pStyle w:val="Normal"/>
        <w:rPr/>
      </w:pPr>
      <w:r>
        <w:rPr/>
      </w:r>
    </w:p>
    <w:p>
      <w:pPr>
        <w:pStyle w:val="Normal"/>
        <w:rPr/>
      </w:pPr>
      <w:r>
        <w:rPr/>
        <w:t>This Net-Out Agreement shall operate as follows:</w:t>
      </w:r>
    </w:p>
    <w:p>
      <w:pPr>
        <w:pStyle w:val="Normal"/>
        <w:rPr/>
      </w:pPr>
      <w:r>
        <w:rPr/>
      </w:r>
    </w:p>
    <w:p>
      <w:pPr>
        <w:pStyle w:val="Normal"/>
        <w:ind w:hanging="567" w:start="567" w:end="0"/>
        <w:rPr/>
      </w:pPr>
      <w:r>
        <w:rPr/>
        <w:t>1.</w:t>
        <w:tab/>
        <w:t>This Net-Out Agreement shall serve to amend the “payment” provisions of all Natural Gas purchase, sale, or exchange contracts between PanCanadian and Enron.</w:t>
      </w:r>
    </w:p>
    <w:p>
      <w:pPr>
        <w:pStyle w:val="Normal"/>
        <w:ind w:hanging="567" w:start="567" w:end="0"/>
        <w:rPr/>
      </w:pPr>
      <w:r>
        <w:rPr/>
      </w:r>
    </w:p>
    <w:p>
      <w:pPr>
        <w:pStyle w:val="Normal"/>
        <w:numPr>
          <w:ilvl w:val="0"/>
          <w:numId w:val="2"/>
        </w:numPr>
        <w:rPr/>
      </w:pPr>
      <w:r>
        <w:rPr/>
        <w:t>Each month the parties shall mutually agree to the total amount due each other for deliveries made in the preceding month, said deliveries shall be priced in accordance with the applicable contracts.  Each party shall continue to invoice the other party as applicable.</w:t>
      </w:r>
    </w:p>
    <w:p>
      <w:pPr>
        <w:pStyle w:val="Normal"/>
        <w:rPr/>
      </w:pPr>
      <w:r>
        <w:rPr/>
      </w:r>
    </w:p>
    <w:p>
      <w:pPr>
        <w:pStyle w:val="Normal"/>
        <w:numPr>
          <w:ilvl w:val="0"/>
          <w:numId w:val="2"/>
        </w:numPr>
        <w:rPr/>
      </w:pPr>
      <w:r>
        <w:rPr/>
        <w:t>Disputes as to any items contained in an invoice shall be reconciled between the parties in a mutually agreeable manner.  However, neither party shall refuse to participate in this netting out process because of a disputed invoice.  If any invoice is disputed, the invoiced party may require that only the amount not in dispute is the value due in the process described in item 2, pending resolution of the dispute and proceed otherwise with the netting out process.</w:t>
      </w:r>
    </w:p>
    <w:p>
      <w:pPr>
        <w:pStyle w:val="Normal"/>
        <w:rPr/>
      </w:pPr>
      <w:r>
        <w:rPr/>
      </w:r>
    </w:p>
    <w:p>
      <w:pPr>
        <w:pStyle w:val="Normal"/>
        <w:numPr>
          <w:ilvl w:val="0"/>
          <w:numId w:val="2"/>
        </w:numPr>
        <w:rPr/>
      </w:pPr>
      <w:r>
        <w:rPr/>
        <w:t>The net difference between the total values agreed to in Item 2 above shall be the amount payable to the party delivering the greater value (other party) by the party delivering the lesser value (owing party).</w:t>
      </w:r>
    </w:p>
    <w:p>
      <w:pPr>
        <w:pStyle w:val="Normal"/>
        <w:rPr/>
      </w:pPr>
      <w:r>
        <w:rPr/>
      </w:r>
    </w:p>
    <w:p>
      <w:pPr>
        <w:pStyle w:val="Normal"/>
        <w:numPr>
          <w:ilvl w:val="0"/>
          <w:numId w:val="2"/>
        </w:numPr>
        <w:rPr/>
      </w:pPr>
      <w:r>
        <w:rPr/>
        <w:t>The net difference as calculated in Item 4 above shall be paid by the owing party to the other party by wire transfer on the 25</w:t>
      </w:r>
      <w:r>
        <w:rPr>
          <w:vertAlign w:val="superscript"/>
        </w:rPr>
        <w:t>th</w:t>
      </w:r>
      <w:r>
        <w:rPr/>
        <w:t xml:space="preserve"> of the month following the month of actual deliveries.  If the 25</w:t>
      </w:r>
      <w:r>
        <w:rPr>
          <w:vertAlign w:val="superscript"/>
        </w:rPr>
        <w:t>th</w:t>
      </w:r>
      <w:r>
        <w:rPr/>
        <w:t xml:space="preserve"> falls on a Saturday, or a banking holiday other than a Monday, payment will be made on the last preceding work day.  If the 25</w:t>
      </w:r>
      <w:r>
        <w:rPr>
          <w:vertAlign w:val="superscript"/>
        </w:rPr>
        <w:t>th</w:t>
      </w:r>
      <w:r>
        <w:rPr/>
        <w:t xml:space="preserve"> falls on a Sunday or Monday bank holiday, payment will be made the next business day.</w:t>
      </w:r>
    </w:p>
    <w:p>
      <w:pPr>
        <w:pStyle w:val="Normal"/>
        <w:rPr/>
      </w:pPr>
      <w:r>
        <w:rPr/>
      </w:r>
    </w:p>
    <w:p>
      <w:pPr>
        <w:pStyle w:val="Normal"/>
        <w:numPr>
          <w:ilvl w:val="0"/>
          <w:numId w:val="2"/>
        </w:numPr>
        <w:rPr/>
      </w:pPr>
      <w:r>
        <w:rPr/>
        <w:t>Any payment adjustments or inadvertent omissions from the above procedure shall be processed for payment expeditiously and in a mutually agreeable fashion.</w:t>
      </w:r>
    </w:p>
    <w:p>
      <w:pPr>
        <w:pStyle w:val="Normal"/>
        <w:rPr/>
      </w:pPr>
      <w:r>
        <w:rPr/>
      </w:r>
    </w:p>
    <w:p>
      <w:pPr>
        <w:pStyle w:val="Normal"/>
        <w:numPr>
          <w:ilvl w:val="0"/>
          <w:numId w:val="2"/>
        </w:numPr>
        <w:rPr/>
      </w:pPr>
      <w:r>
        <w:rPr/>
        <w:t>Each party agrees that for the time deadlines specified herein to be effective, each party must have in its possession all original voices (or acceptable facsimiles) involving the transaction month no later than three business days before the date specified in Item 5.</w:t>
      </w:r>
      <w:r>
        <w:br w:type="page"/>
      </w:r>
    </w:p>
    <w:p>
      <w:pPr>
        <w:pStyle w:val="Normal"/>
        <w:rPr/>
      </w:pPr>
      <w:r>
        <w:rPr/>
      </w:r>
    </w:p>
    <w:p>
      <w:pPr>
        <w:pStyle w:val="Normal"/>
        <w:numPr>
          <w:ilvl w:val="0"/>
          <w:numId w:val="2"/>
        </w:numPr>
        <w:rPr/>
      </w:pPr>
      <w:r>
        <w:rPr/>
        <w:t>Each net-put performed in accordance with this Net-Out Agreement shall, by mutual agreement of the parties, be deemed effective, and payment shall be deemed to have been made as of the date of the individual transactions giving rise to each invoice that gives rise to the net-put, regardless of when settlement is finally booked by either party.</w:t>
      </w:r>
    </w:p>
    <w:p>
      <w:pPr>
        <w:pStyle w:val="Normal"/>
        <w:rPr/>
      </w:pPr>
      <w:r>
        <w:rPr/>
      </w:r>
    </w:p>
    <w:p>
      <w:pPr>
        <w:pStyle w:val="Normal"/>
        <w:rPr/>
      </w:pPr>
      <w:r>
        <w:rPr/>
        <w:t>Except as specifically set forth herein, nothing within this Net-Out Agreement shall be construed to amend, modify, or cancel any part or all of any contract presently in effect between PanCanadian and Enron.  All other terms and conditions of said contracts will remain unchanged and in effect.</w:t>
      </w:r>
    </w:p>
    <w:p>
      <w:pPr>
        <w:pStyle w:val="Normal"/>
        <w:rPr/>
      </w:pPr>
      <w:r>
        <w:rPr/>
      </w:r>
    </w:p>
    <w:p>
      <w:pPr>
        <w:pStyle w:val="Normal"/>
        <w:rPr/>
      </w:pPr>
      <w:r>
        <w:rPr/>
        <w:t>All payments due under any future natural gas purchase, sale, and/or exchange agreements between PanCanadian and Enron shall be handled in accordance with the terms of this Net-Out Agreement.</w:t>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b/>
        </w:rPr>
      </w:pPr>
      <w:r>
        <w:rPr>
          <w:b/>
        </w:rPr>
        <w:t>PANCANADIAN ENERGY SERVICES,</w:t>
        <w:tab/>
        <w:tab/>
        <w:tab/>
        <w:t>ENRON NORTH AMERICA CORP.</w:t>
      </w:r>
    </w:p>
    <w:p>
      <w:pPr>
        <w:pStyle w:val="Heading1"/>
        <w:ind w:hanging="0" w:start="0"/>
        <w:rPr/>
      </w:pPr>
      <w:r>
        <w:rPr/>
        <w:t xml:space="preserve">A DIVISION OF </w:t>
      </w:r>
    </w:p>
    <w:p>
      <w:pPr>
        <w:pStyle w:val="Normal"/>
        <w:rPr>
          <w:b/>
        </w:rPr>
      </w:pPr>
      <w:r>
        <w:rPr>
          <w:b/>
        </w:rPr>
        <w:t>PANCANADIAN PETROLEUM LIMITED</w:t>
      </w:r>
    </w:p>
    <w:p>
      <w:pPr>
        <w:pStyle w:val="Normal"/>
        <w:rPr/>
      </w:pPr>
      <w:r>
        <w:rPr/>
      </w:r>
    </w:p>
    <w:p>
      <w:pPr>
        <w:pStyle w:val="Normal"/>
        <w:rPr/>
      </w:pPr>
      <w:r>
        <w:rPr/>
      </w:r>
    </w:p>
    <w:p>
      <w:pPr>
        <w:pStyle w:val="Normal"/>
        <w:rPr/>
      </w:pPr>
      <w:r>
        <w:rPr/>
      </w:r>
    </w:p>
    <w:p>
      <w:pPr>
        <w:pStyle w:val="Normal"/>
        <w:rPr/>
      </w:pPr>
      <w:r>
        <w:rPr/>
        <w:t>By:</w:t>
        <w:tab/>
      </w:r>
      <w:r>
        <w:rPr>
          <w:u w:val="single"/>
        </w:rPr>
        <w:tab/>
        <w:tab/>
        <w:tab/>
        <w:tab/>
        <w:tab/>
        <w:tab/>
      </w:r>
      <w:r>
        <w:rPr/>
        <w:tab/>
        <w:tab/>
        <w:t>By:</w:t>
        <w:tab/>
      </w:r>
      <w:r>
        <w:rPr>
          <w:u w:val="single"/>
        </w:rPr>
        <w:tab/>
        <w:tab/>
        <w:tab/>
        <w:tab/>
        <w:tab/>
        <w:tab/>
      </w:r>
    </w:p>
    <w:p>
      <w:pPr>
        <w:pStyle w:val="Normal"/>
        <w:rPr/>
      </w:pPr>
      <w:r>
        <w:rPr/>
      </w:r>
    </w:p>
    <w:p>
      <w:pPr>
        <w:pStyle w:val="Normal"/>
        <w:rPr/>
      </w:pPr>
      <w:r>
        <w:rPr/>
      </w:r>
    </w:p>
    <w:p>
      <w:pPr>
        <w:pStyle w:val="Normal"/>
        <w:rPr/>
      </w:pPr>
      <w:r>
        <w:rPr/>
        <w:t>Name:</w:t>
      </w:r>
      <w:r>
        <w:rPr>
          <w:u w:val="single"/>
        </w:rPr>
        <w:tab/>
        <w:tab/>
        <w:tab/>
        <w:tab/>
        <w:tab/>
        <w:tab/>
      </w:r>
      <w:r>
        <w:rPr/>
        <w:tab/>
        <w:tab/>
        <w:t>Name:</w:t>
      </w:r>
      <w:r>
        <w:rPr>
          <w:u w:val="single"/>
        </w:rPr>
        <w:tab/>
        <w:tab/>
        <w:tab/>
        <w:tab/>
        <w:tab/>
        <w:tab/>
      </w:r>
    </w:p>
    <w:p>
      <w:pPr>
        <w:pStyle w:val="Normal"/>
        <w:rPr/>
      </w:pPr>
      <w:r>
        <w:rPr/>
      </w:r>
    </w:p>
    <w:p>
      <w:pPr>
        <w:pStyle w:val="Normal"/>
        <w:rPr/>
      </w:pPr>
      <w:r>
        <w:rPr/>
      </w:r>
    </w:p>
    <w:p>
      <w:pPr>
        <w:pStyle w:val="Normal"/>
        <w:rPr/>
      </w:pPr>
      <w:r>
        <w:rPr/>
        <w:t>Title:</w:t>
        <w:tab/>
      </w:r>
      <w:r>
        <w:rPr>
          <w:u w:val="single"/>
        </w:rPr>
        <w:tab/>
        <w:tab/>
        <w:tab/>
        <w:tab/>
        <w:tab/>
        <w:tab/>
      </w:r>
      <w:r>
        <w:rPr/>
        <w:tab/>
        <w:tab/>
        <w:t>Title:</w:t>
        <w:tab/>
      </w:r>
      <w:r>
        <w:rPr>
          <w:u w:val="single"/>
        </w:rPr>
        <w:tab/>
        <w:tab/>
        <w:tab/>
        <w:tab/>
        <w:tab/>
        <w:tab/>
      </w:r>
    </w:p>
    <w:p>
      <w:pPr>
        <w:pStyle w:val="Normal"/>
        <w:rPr/>
      </w:pPr>
      <w:r>
        <w:rPr/>
      </w:r>
    </w:p>
    <w:p>
      <w:pPr>
        <w:pStyle w:val="Normal"/>
        <w:rPr/>
      </w:pPr>
      <w:r>
        <w:rPr/>
      </w:r>
    </w:p>
    <w:p>
      <w:pPr>
        <w:pStyle w:val="Normal"/>
        <w:rPr/>
      </w:pPr>
      <w:r>
        <w:rPr/>
        <w:t>Date:</w:t>
        <w:tab/>
      </w:r>
      <w:r>
        <w:rPr>
          <w:u w:val="single"/>
        </w:rPr>
        <w:tab/>
        <w:tab/>
        <w:tab/>
        <w:tab/>
        <w:tab/>
        <w:tab/>
      </w:r>
      <w:r>
        <w:rPr/>
        <w:tab/>
        <w:tab/>
        <w:t>Date:</w:t>
        <w:tab/>
      </w:r>
      <w:r>
        <w:rPr>
          <w:u w:val="single"/>
        </w:rPr>
        <w:tab/>
        <w:tab/>
        <w:tab/>
        <w:tab/>
        <w:tab/>
        <w:tab/>
      </w:r>
    </w:p>
    <w:sectPr>
      <w:type w:val="nextPage"/>
      <w:pgSz w:w="12240" w:h="15840"/>
      <w:pgMar w:left="1412" w:right="1412"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2"/>
      <w:numFmt w:val="decimal"/>
      <w:lvlText w:val="%1."/>
      <w:lvlJc w:val="start"/>
      <w:pPr>
        <w:tabs>
          <w:tab w:val="num" w:pos="570"/>
        </w:tabs>
        <w:ind w:start="570" w:hanging="570"/>
      </w:pPr>
      <w:rPr/>
    </w:lvl>
  </w:abstractNum>
  <w:num w:numId="1">
    <w:abstractNumId w:val="1"/>
  </w:num>
  <w:num w:numId="2">
    <w:abstractNumId w:val="2"/>
  </w:num>
</w:numbering>
</file>

<file path=word/settings.xml><?xml version="1.0" encoding="utf-8"?>
<w:settings xmlns:w="http://schemas.openxmlformats.org/wordprocessingml/2006/main">
  <w:zoom w:percent="100"/>
  <w:defaultTabStop w:val="567"/>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Arial" w:hAnsi="Arial" w:eastAsia="Times New Roman" w:cs="Arial"/>
      <w:color w:val="auto"/>
      <w:sz w:val="22"/>
      <w:szCs w:val="20"/>
      <w:lang w:val="en-US" w:eastAsia="zh-CN" w:bidi="hi-IN"/>
    </w:rPr>
  </w:style>
  <w:style w:type="paragraph" w:styleId="Heading1">
    <w:name w:val="heading 1"/>
    <w:basedOn w:val="Normal"/>
    <w:next w:val="Normal"/>
    <w:qFormat/>
    <w:pPr>
      <w:keepNext w:val="true"/>
      <w:numPr>
        <w:ilvl w:val="0"/>
        <w:numId w:val="1"/>
      </w:numPr>
      <w:outlineLvl w:val="0"/>
    </w:pPr>
    <w:rPr>
      <w:b/>
    </w:rPr>
  </w:style>
  <w:style w:type="character" w:styleId="WW8Num1z0">
    <w:name w:val="WW8Num1z0"/>
    <w:qFormat/>
    <w:rPr/>
  </w:style>
  <w:style w:type="character" w:styleId="DefaultParagraphFont">
    <w:name w:val="Default Paragraph Font"/>
    <w:qFormat/>
    <w:rPr/>
  </w:style>
  <w:style w:type="paragraph" w:styleId="Heading">
    <w:name w:val="Heading"/>
    <w:basedOn w:val="Normal"/>
    <w:next w:val="BodyText"/>
    <w:qFormat/>
    <w:pPr>
      <w:jc w:val="center"/>
    </w:pPr>
    <w:rPr>
      <w:b/>
      <w:u w:val="single"/>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2000-08-17T19:45:00Z</dcterms:created>
  <dc:creator>Kitty Wasslen</dc:creator>
  <dc:description/>
  <dc:language>en-CA</dc:language>
  <cp:lastModifiedBy>Jill Yow</cp:lastModifiedBy>
  <cp:lastPrinted>2000-08-17T09:53:00Z</cp:lastPrinted>
  <dcterms:modified xsi:type="dcterms:W3CDTF">2000-08-17T19:45:00Z</dcterms:modified>
  <cp:revision>2</cp:revision>
  <dc:subject/>
  <dc:title>NET SETTLEMENT AGREEMENT</dc:title>
</cp:coreProperties>
</file>