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Enron North America Agreement:</w:t>
      </w:r>
    </w:p>
    <w:p>
      <w:pPr>
        <w:pStyle w:val="Normal"/>
        <w:rPr>
          <w:b/>
        </w:rPr>
      </w:pPr>
      <w:r>
        <w:rPr>
          <w:b/>
        </w:rPr>
      </w:r>
    </w:p>
    <w:p>
      <w:pPr>
        <w:pStyle w:val="Normal"/>
        <w:rPr/>
      </w:pPr>
      <w:r>
        <w:rPr>
          <w:b/>
        </w:rPr>
        <w:t>Definitions</w:t>
      </w:r>
      <w:r>
        <w:rPr/>
        <w:t>:</w:t>
        <w:tab/>
      </w:r>
      <w:r>
        <w:rPr>
          <w:b/>
        </w:rPr>
        <w:t>MinPQ</w:t>
      </w:r>
      <w:r>
        <w:rPr/>
        <w:t xml:space="preserve"> – Would like to see an actual quantity stated ie. A fraction of the DQ or Max DQ as applicable and set forth in the confirmation; qualify the term length</w:t>
      </w:r>
    </w:p>
    <w:p>
      <w:pPr>
        <w:pStyle w:val="Normal"/>
        <w:rPr/>
      </w:pPr>
      <w:r>
        <w:rPr/>
      </w:r>
    </w:p>
    <w:p>
      <w:pPr>
        <w:pStyle w:val="Normal"/>
        <w:rPr/>
      </w:pPr>
      <w:r>
        <w:rPr/>
        <w:t>Article 9 Billing &amp; Payment:</w:t>
        <w:tab/>
        <w:t>9.1 (b)  How does an amount less than zero occur in the calculation of the Contract Price?</w:t>
      </w:r>
    </w:p>
    <w:p>
      <w:pPr>
        <w:pStyle w:val="Normal"/>
        <w:rPr/>
      </w:pPr>
      <w:r>
        <w:rPr/>
      </w:r>
    </w:p>
    <w:p>
      <w:pPr>
        <w:pStyle w:val="Normal"/>
        <w:numPr>
          <w:ilvl w:val="1"/>
          <w:numId w:val="1"/>
        </w:numPr>
        <w:rPr/>
      </w:pPr>
      <w:r>
        <w:rPr>
          <w:b/>
        </w:rPr>
        <w:t>Seller’s Suspension of Performance</w:t>
      </w:r>
      <w:r>
        <w:rPr/>
        <w:t xml:space="preserve"> – please change five (5) Business Days to two (2) Business Days</w:t>
      </w:r>
    </w:p>
    <w:p>
      <w:pPr>
        <w:pStyle w:val="Normal"/>
        <w:rPr/>
      </w:pPr>
      <w:r>
        <w:rPr/>
      </w:r>
    </w:p>
    <w:p>
      <w:pPr>
        <w:pStyle w:val="Normal"/>
        <w:numPr>
          <w:ilvl w:val="1"/>
          <w:numId w:val="2"/>
        </w:numPr>
        <w:rPr/>
      </w:pPr>
      <w:r>
        <w:rPr>
          <w:b/>
        </w:rPr>
        <w:t>Triggering Event</w:t>
      </w:r>
      <w:r>
        <w:rPr/>
        <w:t xml:space="preserve"> – Please change five (5) Business Days to two (2) Business Days</w:t>
      </w:r>
    </w:p>
    <w:p>
      <w:pPr>
        <w:pStyle w:val="Normal"/>
        <w:ind w:start="540" w:end="0"/>
        <w:rPr/>
      </w:pPr>
      <w:r>
        <w:rPr/>
        <w:t>Also, please clarify (f) of 10.3 (iv) on page 15…the flow of the sentence is unclear</w:t>
      </w:r>
    </w:p>
    <w:p>
      <w:pPr>
        <w:pStyle w:val="Normal"/>
        <w:ind w:start="540" w:end="0"/>
        <w:rPr/>
      </w:pPr>
      <w:r>
        <w:rPr/>
        <w:t>10.3 (vii) (b) please change the Letter of Credit being adjusted weekly to at the request of the Notifying Party.</w:t>
      </w:r>
    </w:p>
    <w:p>
      <w:pPr>
        <w:pStyle w:val="Normal"/>
        <w:numPr>
          <w:ilvl w:val="1"/>
          <w:numId w:val="5"/>
        </w:numPr>
        <w:rPr/>
      </w:pPr>
      <w:r>
        <w:rPr/>
        <w:t xml:space="preserve">(x) add “material” to…“perform any </w:t>
      </w:r>
      <w:r>
        <w:rPr>
          <w:i/>
        </w:rPr>
        <w:t>material</w:t>
      </w:r>
      <w:r>
        <w:rPr/>
        <w:t xml:space="preserve"> covenant set forth in the guarantee agreement…”</w:t>
      </w:r>
    </w:p>
    <w:p>
      <w:pPr>
        <w:pStyle w:val="Normal"/>
        <w:ind w:start="540" w:end="0"/>
        <w:rPr/>
      </w:pPr>
      <w:r>
        <w:rPr/>
        <w:t xml:space="preserve">10.3 (xi)  add “material” to …  “with respect to Company, Company’s Guarantor fails to perform any </w:t>
      </w:r>
      <w:r>
        <w:rPr>
          <w:i/>
        </w:rPr>
        <w:t>material</w:t>
      </w:r>
      <w:r>
        <w:rPr/>
        <w:t xml:space="preserve"> covenant set forth…”</w:t>
      </w:r>
    </w:p>
    <w:p>
      <w:pPr>
        <w:pStyle w:val="Normal"/>
        <w:rPr/>
      </w:pPr>
      <w:r>
        <w:rPr/>
      </w:r>
    </w:p>
    <w:p>
      <w:pPr>
        <w:pStyle w:val="Normal"/>
        <w:numPr>
          <w:ilvl w:val="1"/>
          <w:numId w:val="4"/>
        </w:numPr>
        <w:rPr/>
      </w:pPr>
      <w:r>
        <w:rPr>
          <w:b/>
        </w:rPr>
        <w:t>Security</w:t>
      </w:r>
      <w:r>
        <w:rPr/>
        <w:t xml:space="preserve"> – please forward copies of Exhibit “C” and “D”</w:t>
      </w:r>
    </w:p>
    <w:p>
      <w:pPr>
        <w:pStyle w:val="Normal"/>
        <w:rPr/>
      </w:pPr>
      <w:r>
        <w:rPr/>
      </w:r>
    </w:p>
    <w:p>
      <w:pPr>
        <w:pStyle w:val="Normal"/>
        <w:rPr/>
      </w:pPr>
      <w:r>
        <w:rPr/>
        <w:t xml:space="preserve">Article 11  </w:t>
      </w:r>
      <w:r>
        <w:rPr>
          <w:b/>
        </w:rPr>
        <w:t xml:space="preserve">Exposure Thresholds; Collateral Requirement </w:t>
      </w:r>
    </w:p>
    <w:p>
      <w:pPr>
        <w:pStyle w:val="Normal"/>
        <w:rPr/>
      </w:pPr>
      <w:r>
        <w:rPr/>
        <w:t>Please change weekly adjustments to at the request of the Notifying Party</w:t>
      </w:r>
    </w:p>
    <w:p>
      <w:pPr>
        <w:pStyle w:val="Normal"/>
        <w:rPr/>
      </w:pPr>
      <w:r>
        <w:rPr/>
      </w:r>
    </w:p>
    <w:p>
      <w:pPr>
        <w:pStyle w:val="Normal"/>
        <w:rPr/>
      </w:pPr>
      <w:r>
        <w:rPr/>
        <w:t xml:space="preserve">Article 14  </w:t>
      </w:r>
      <w:r>
        <w:rPr>
          <w:b/>
        </w:rPr>
        <w:t>Force Majeure</w:t>
      </w:r>
      <w:r>
        <w:rPr/>
        <w:t xml:space="preserve"> – Please replace with the following language:</w:t>
      </w:r>
    </w:p>
    <w:p>
      <w:pPr>
        <w:pStyle w:val="Normal"/>
        <w:rPr/>
      </w:pPr>
      <w:r>
        <w:rPr/>
      </w:r>
    </w:p>
    <w:p>
      <w:pPr>
        <w:pStyle w:val="ArticleBJL2"/>
        <w:numPr>
          <w:ilvl w:val="0"/>
          <w:numId w:val="0"/>
        </w:numPr>
        <w:ind w:hanging="0" w:start="0"/>
        <w:rPr/>
      </w:pPr>
      <w:r>
        <w:rPr/>
        <w:t>Relief for Force Majeure</w:t>
      </w:r>
    </w:p>
    <w:p>
      <w:pPr>
        <w:pStyle w:val="BodyText"/>
        <w:ind w:hanging="0" w:end="0"/>
        <w:rPr/>
      </w:pPr>
      <w:r>
        <w:rPr/>
        <w:t>Except for a Party's obligation to make payments due under the Agreement, if by reason of Force Majeure a Party is unable, wholly or partially, to perform any of its obligations, then a Party affected by the Force Majeure shall be relieved of its obligations to the extent of the inability so caused.  If deliveries for a Transaction are to be made through an inventory transfer on a pipeline or in a storage facility, an interruption, curtailment or prorationing of transportation or storage service will not constitute a Force Majeure unless the pipeline or storage facility interrupts, curtails or prorates inventory transfer service for all of its firm customers at that point.  In addition, demand charges incurred by one Party for the benefit of the other Party in respect of any Transaction shall not be waived during any period of Force Majeure and shall, notwithstanding such Force Majeure, be subject to reimbursement by the Party for whose benefit they were incurred.</w:t>
      </w:r>
    </w:p>
    <w:p>
      <w:pPr>
        <w:pStyle w:val="ArticleBJL2"/>
        <w:numPr>
          <w:ilvl w:val="0"/>
          <w:numId w:val="0"/>
        </w:numPr>
        <w:ind w:hanging="0" w:start="0"/>
        <w:rPr/>
      </w:pPr>
      <w:r>
        <w:rPr/>
        <w:t>Notice of Force Majeure</w:t>
      </w:r>
    </w:p>
    <w:p>
      <w:pPr>
        <w:pStyle w:val="BodyText"/>
        <w:ind w:hanging="0" w:end="0"/>
        <w:rPr/>
      </w:pPr>
      <w:r>
        <w:rPr/>
        <w:t>The Party whose performance is prevented by Force Majeure must provide prompt notice of such fact to the other Party.  Such notice may initially be given orally; however, written notification with particulars of the event or occurrence is required as soon as reasonably possible thereafter.  Subject only to providing notice to the other Party in accordance with this Section 7.2, a Party shall be entitled to relief for Force Majeure when and as it occurs.  Force Majeure, however, shall not excuse the payment of any financial obligations, such as those incurred in liquidating hedge positions undertaken by a Party with the agreement of the non-performing Party (such as under a Trigger Price Agreement).</w:t>
      </w:r>
    </w:p>
    <w:p>
      <w:pPr>
        <w:pStyle w:val="ArticleBJL2"/>
        <w:numPr>
          <w:ilvl w:val="0"/>
          <w:numId w:val="0"/>
        </w:numPr>
        <w:ind w:hanging="0" w:start="0"/>
        <w:rPr/>
      </w:pPr>
      <w:r>
        <w:rPr/>
        <w:t>Limited Obligations to Avoid and Resolve Force Majeure</w:t>
      </w:r>
    </w:p>
    <w:p>
      <w:pPr>
        <w:pStyle w:val="BodyText"/>
        <w:ind w:hanging="0" w:end="0"/>
        <w:rPr/>
      </w:pPr>
      <w:r>
        <w:rPr/>
        <w:t>Seller and Buyer shall make reasonable efforts to avoid Force Majeure and to resolve the event or occurrence once it has occurred in order to resume performance.</w:t>
      </w:r>
    </w:p>
    <w:p>
      <w:pPr>
        <w:pStyle w:val="ArticleBJL2"/>
        <w:numPr>
          <w:ilvl w:val="0"/>
          <w:numId w:val="0"/>
        </w:numPr>
        <w:ind w:hanging="0" w:start="0"/>
        <w:rPr/>
      </w:pPr>
      <w:r>
        <w:rPr/>
        <w:t>Limits on Force Majeure Relief</w:t>
      </w:r>
    </w:p>
    <w:p>
      <w:pPr>
        <w:pStyle w:val="BodyText"/>
        <w:ind w:hanging="0" w:end="0"/>
        <w:rPr/>
      </w:pPr>
      <w:r>
        <w:rPr/>
        <w:t>Notwithstanding any other provision of this Article 7, neither Party shall be entitled to the benefit of Force Majeure under either or both of the following circumstances: (i) to the extent the failure to perform was caused by the negligence of the Party claiming Force Majeure; or (ii) to the extent the failure to perform was caused by the Party claiming Force Majeure having failed to remedy the condition and to resume the performance of such covenants or obligations with reasonable dispatch. Notwithstanding anything to the contrary herein, the Parties agree that the settlement of strikes, lockouts or other industrial disturbances shall be entirely within the discretion of the Party experiencing such disturbance.</w:t>
      </w:r>
    </w:p>
    <w:p>
      <w:pPr>
        <w:pStyle w:val="ArticleBJL2"/>
        <w:numPr>
          <w:ilvl w:val="0"/>
          <w:numId w:val="0"/>
        </w:numPr>
        <w:ind w:hanging="0" w:start="0"/>
        <w:rPr/>
      </w:pPr>
      <w:r>
        <w:rPr/>
        <w:t>Effect of Force Majeure on Parties' Obligations</w:t>
      </w:r>
    </w:p>
    <w:p>
      <w:pPr>
        <w:pStyle w:val="BodyText"/>
        <w:ind w:hanging="0" w:end="0"/>
        <w:rPr/>
      </w:pPr>
      <w:r>
        <w:rPr/>
        <w:t xml:space="preserve">On any Day or portion thereof that Force Majeure applies, the Parties’ obligations to deliver and receive Gas pursuant to any Firm Service Transaction will be reduced only to the extent that the non-performing Party’s total Gas flows are interrupted, curtailed or prorationed at the Delivery Point as a result of such Force Majeure, </w:t>
      </w:r>
      <w:r>
        <w:rPr>
          <w:u w:val="single"/>
        </w:rPr>
        <w:t>unless</w:t>
      </w:r>
      <w:r>
        <w:rPr/>
        <w:t xml:space="preserve"> and to the extent that prior to entering into such Transaction, any third party obligations of the non-performing Party have been identified by the non-performing Party as being of higher priority than the obligations owed to the other Party hereto.</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9"/>
      <w:numFmt w:val="decimal"/>
      <w:lvlText w:val="%1"/>
      <w:lvlJc w:val="start"/>
      <w:pPr>
        <w:tabs>
          <w:tab w:val="num" w:pos="450"/>
        </w:tabs>
        <w:ind w:start="450" w:hanging="450"/>
      </w:pPr>
      <w:rPr/>
    </w:lvl>
    <w:lvl w:ilvl="1">
      <w:start w:val="4"/>
      <w:numFmt w:val="decimal"/>
      <w:lvlText w:val="%1.%2"/>
      <w:lvlJc w:val="start"/>
      <w:pPr>
        <w:tabs>
          <w:tab w:val="num" w:pos="450"/>
        </w:tabs>
        <w:ind w:start="450" w:hanging="45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0"/>
      <w:numFmt w:val="decimal"/>
      <w:lvlText w:val="%1"/>
      <w:lvlJc w:val="start"/>
      <w:pPr>
        <w:tabs>
          <w:tab w:val="num" w:pos="540"/>
        </w:tabs>
        <w:ind w:start="540" w:hanging="540"/>
      </w:pPr>
      <w:rPr/>
    </w:lvl>
    <w:lvl w:ilvl="1">
      <w:start w:val="3"/>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hadow w:val="false"/>
        <w:u w:val="none"/>
        <w:vanish w:val="false"/>
        <w:color w:val="000000"/>
      </w:rPr>
    </w:lvl>
    <w:lvl w:ilvl="1">
      <w:start w:val="1"/>
      <w:isLgl/>
      <w:numFmt w:val="decimal"/>
      <w:lvlText w:val="%1.%2"/>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nish w:val="false"/>
        <w:color w:val="000000"/>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shadow w:val="false"/>
        <w:u w:val="none"/>
        <w:vanish w:val="false"/>
        <w:color w:val="000000"/>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shadow w:val="false"/>
        <w:u w:val="none"/>
        <w:vanish w:val="false"/>
        <w:color w:val="000000"/>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hadow w:val="false"/>
        <w:u w:val="none"/>
        <w:vanish w:val="false"/>
        <w:color w:val="000000"/>
      </w:rPr>
    </w:lvl>
    <w:lvl w:ilvl="5">
      <w:start w:val="1"/>
      <w:numFmt w:val="decimal"/>
      <w:lvlText w:val="(%6)"/>
      <w:lvlJc w:val="start"/>
      <w:pPr>
        <w:tabs>
          <w:tab w:val="num" w:pos="3600"/>
        </w:tabs>
        <w:ind w:start="3600" w:hanging="720"/>
      </w:pPr>
      <w:rPr>
        <w:smallCaps w:val="false"/>
        <w:caps w:val="false"/>
        <w:outline w:val="false"/>
        <w:dstrike w:val="false"/>
        <w:strike w:val="false"/>
        <w:vertAlign w:val="baseline"/>
        <w:position w:val="0"/>
        <w:sz w:val="24"/>
        <w:shadow w:val="false"/>
        <w:u w:val="none"/>
        <w:vanish w:val="false"/>
        <w:color w:val="000000"/>
      </w:rPr>
    </w:lvl>
    <w:lvl w:ilvl="6">
      <w:start w:val="1"/>
      <w:numFmt w:val="lowerLetter"/>
      <w:lvlText w:val="%7)"/>
      <w:lvlJc w:val="start"/>
      <w:pPr>
        <w:tabs>
          <w:tab w:val="num" w:pos="4320"/>
        </w:tabs>
        <w:ind w:start="4320" w:hanging="720"/>
      </w:pPr>
      <w:rPr>
        <w:smallCaps w:val="false"/>
        <w:caps w:val="false"/>
        <w:outline w:val="false"/>
        <w:dstrike w:val="false"/>
        <w:strike w:val="false"/>
        <w:vertAlign w:val="baseline"/>
        <w:position w:val="0"/>
        <w:sz w:val="24"/>
        <w:shadow w:val="false"/>
        <w:u w:val="none"/>
        <w:vanish w:val="false"/>
        <w:color w:val="000000"/>
      </w:rPr>
    </w:lvl>
    <w:lvl w:ilvl="7">
      <w:start w:val="1"/>
      <w:numFmt w:val="lowerRoman"/>
      <w:lvlText w:val="%8)"/>
      <w:lvlJc w:val="start"/>
      <w:pPr>
        <w:tabs>
          <w:tab w:val="num" w:pos="5040"/>
        </w:tabs>
        <w:ind w:start="5040" w:hanging="720"/>
      </w:pPr>
      <w:rPr>
        <w:smallCaps w:val="false"/>
        <w:caps w:val="false"/>
        <w:outline w:val="false"/>
        <w:dstrike w:val="false"/>
        <w:strike w:val="false"/>
        <w:vertAlign w:val="baseline"/>
        <w:position w:val="0"/>
        <w:sz w:val="24"/>
        <w:shadow w:val="false"/>
        <w:u w:val="none"/>
        <w:vanish w:val="false"/>
        <w:color w:val="000000"/>
      </w:rPr>
    </w:lvl>
    <w:lvl w:ilvl="8">
      <w:start w:val="1"/>
      <w:numFmt w:val="lowerRoman"/>
      <w:lvlText w:val="%9."/>
      <w:lvlJc w:val="start"/>
      <w:pPr>
        <w:tabs>
          <w:tab w:val="num" w:pos="3600"/>
        </w:tabs>
        <w:ind w:start="3240" w:hanging="360"/>
      </w:pPr>
      <w:rPr/>
    </w:lvl>
  </w:abstractNum>
  <w:abstractNum w:abstractNumId="4">
    <w:lvl w:ilvl="0">
      <w:start w:val="10"/>
      <w:numFmt w:val="decimal"/>
      <w:lvlText w:val="%1"/>
      <w:lvlJc w:val="start"/>
      <w:pPr>
        <w:tabs>
          <w:tab w:val="num" w:pos="540"/>
        </w:tabs>
        <w:ind w:start="540" w:hanging="540"/>
      </w:pPr>
      <w:rPr/>
    </w:lvl>
    <w:lvl w:ilvl="1">
      <w:start w:val="6"/>
      <w:numFmt w:val="decimal"/>
      <w:lvlText w:val="%1.%2"/>
      <w:lvlJc w:val="start"/>
      <w:pPr>
        <w:tabs>
          <w:tab w:val="num" w:pos="540"/>
        </w:tabs>
        <w:ind w:start="540" w:hanging="54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0"/>
      <w:numFmt w:val="decimal"/>
      <w:lvlText w:val="%1"/>
      <w:lvlJc w:val="start"/>
      <w:pPr>
        <w:tabs>
          <w:tab w:val="num" w:pos="630"/>
        </w:tabs>
        <w:ind w:start="630" w:hanging="630"/>
      </w:pPr>
      <w:rPr/>
    </w:lvl>
    <w:lvl w:ilvl="1">
      <w:start w:val="3"/>
      <w:numFmt w:val="decimal"/>
      <w:lvlText w:val="%1.%2"/>
      <w:lvlJc w:val="start"/>
      <w:pPr>
        <w:tabs>
          <w:tab w:val="num" w:pos="1170"/>
        </w:tabs>
        <w:ind w:start="1170" w:hanging="630"/>
      </w:pPr>
      <w:rPr/>
    </w:lvl>
    <w:lvl w:ilvl="2">
      <w:start w:val="1"/>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caps/>
      <w:strike w:val="false"/>
      <w:dstrike w:val="false"/>
      <w:outline w:val="false"/>
      <w:shadow w:val="false"/>
      <w:vanish w:val="false"/>
      <w:color w:val="000000"/>
      <w:position w:val="0"/>
      <w:sz w:val="24"/>
      <w:u w:val="none"/>
      <w:vertAlign w:val="baseline"/>
    </w:rPr>
  </w:style>
  <w:style w:type="character" w:styleId="WW8Num3z1">
    <w:name w:val="WW8Num3z1"/>
    <w:qFormat/>
    <w:rPr>
      <w:b/>
      <w:i w:val="false"/>
      <w:caps w:val="false"/>
      <w:smallCaps w:val="false"/>
      <w:strike w:val="false"/>
      <w:dstrike w:val="false"/>
      <w:outline w:val="false"/>
      <w:shadow w:val="false"/>
      <w:vanish w:val="false"/>
      <w:color w:val="000000"/>
      <w:position w:val="0"/>
      <w:sz w:val="24"/>
      <w:u w:val="none"/>
      <w:vertAlign w:val="baseline"/>
    </w:rPr>
  </w:style>
  <w:style w:type="character" w:styleId="WW8Num3z2">
    <w:name w:val="WW8Num3z2"/>
    <w:qFormat/>
    <w:rPr>
      <w:caps w:val="false"/>
      <w:smallCaps w:val="false"/>
      <w:strike w:val="false"/>
      <w:dstrike w:val="false"/>
      <w:outline w:val="false"/>
      <w:shadow w:val="false"/>
      <w:vanish w:val="false"/>
      <w:color w:val="000000"/>
      <w:position w:val="0"/>
      <w:sz w:val="24"/>
      <w:u w:val="none"/>
      <w:vertAlign w:val="baseline"/>
    </w:rPr>
  </w:style>
  <w:style w:type="character" w:styleId="WW8Num3z8">
    <w:name w:val="WW8Num3z8"/>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rticleBJL1">
    <w:name w:val="ArticleBJ_L1"/>
    <w:basedOn w:val="Normal"/>
    <w:next w:val="Normal"/>
    <w:qFormat/>
    <w:pPr>
      <w:keepNext w:val="true"/>
      <w:numPr>
        <w:ilvl w:val="0"/>
        <w:numId w:val="3"/>
      </w:numPr>
      <w:spacing w:before="240" w:after="240"/>
      <w:jc w:val="center"/>
      <w:outlineLvl w:val="0"/>
    </w:pPr>
    <w:rPr>
      <w:rFonts w:ascii="Arial" w:hAnsi="Arial" w:cs="Arial"/>
      <w:b/>
      <w:sz w:val="22"/>
    </w:rPr>
  </w:style>
  <w:style w:type="paragraph" w:styleId="ArticleBJL2">
    <w:name w:val="ArticleBJ_L2"/>
    <w:basedOn w:val="ArticleBJL1"/>
    <w:next w:val="BodyText"/>
    <w:qFormat/>
    <w:pPr>
      <w:numPr>
        <w:ilvl w:val="0"/>
        <w:numId w:val="3"/>
      </w:numPr>
      <w:tabs>
        <w:tab w:val="clear" w:pos="720"/>
        <w:tab w:val="left" w:pos="360" w:leader="none"/>
      </w:tabs>
      <w:spacing w:before="0" w:after="240"/>
      <w:jc w:val="both"/>
      <w:outlineLvl w:val="1"/>
    </w:pPr>
    <w:rPr/>
  </w:style>
  <w:style w:type="paragraph" w:styleId="ArticleBJL3">
    <w:name w:val="ArticleBJ_L3"/>
    <w:basedOn w:val="ArticleBJL2"/>
    <w:next w:val="Normal"/>
    <w:qFormat/>
    <w:pPr>
      <w:keepNext w:val="false"/>
      <w:numPr>
        <w:ilvl w:val="0"/>
        <w:numId w:val="3"/>
      </w:numPr>
      <w:outlineLvl w:val="2"/>
    </w:pPr>
    <w:rPr>
      <w:b w:val="false"/>
    </w:rPr>
  </w:style>
  <w:style w:type="paragraph" w:styleId="ArticleBJL4">
    <w:name w:val="ArticleBJ_L4"/>
    <w:basedOn w:val="ArticleBJL3"/>
    <w:next w:val="Normal"/>
    <w:qFormat/>
    <w:pPr>
      <w:numPr>
        <w:ilvl w:val="0"/>
        <w:numId w:val="3"/>
      </w:numPr>
      <w:outlineLvl w:val="3"/>
    </w:pPr>
    <w:rPr/>
  </w:style>
  <w:style w:type="paragraph" w:styleId="ArticleBJL5">
    <w:name w:val="ArticleBJ_L5"/>
    <w:basedOn w:val="ArticleBJL4"/>
    <w:next w:val="Normal"/>
    <w:qFormat/>
    <w:pPr>
      <w:numPr>
        <w:ilvl w:val="0"/>
        <w:numId w:val="3"/>
      </w:numPr>
      <w:outlineLvl w:val="4"/>
    </w:pPr>
    <w:rPr/>
  </w:style>
  <w:style w:type="paragraph" w:styleId="ArticleBJL6">
    <w:name w:val="ArticleBJ_L6"/>
    <w:basedOn w:val="ArticleBJL5"/>
    <w:next w:val="Normal"/>
    <w:qFormat/>
    <w:pPr>
      <w:numPr>
        <w:ilvl w:val="0"/>
        <w:numId w:val="3"/>
      </w:numPr>
      <w:outlineLvl w:val="5"/>
    </w:pPr>
    <w:rPr/>
  </w:style>
  <w:style w:type="paragraph" w:styleId="ArticleBJL7">
    <w:name w:val="ArticleBJ_L7"/>
    <w:basedOn w:val="ArticleBJL6"/>
    <w:next w:val="Normal"/>
    <w:qFormat/>
    <w:pPr>
      <w:numPr>
        <w:ilvl w:val="0"/>
        <w:numId w:val="3"/>
      </w:numPr>
      <w:outlineLvl w:val="6"/>
    </w:pPr>
    <w:rPr/>
  </w:style>
  <w:style w:type="paragraph" w:styleId="ArticleBJL8">
    <w:name w:val="ArticleBJ_L8"/>
    <w:basedOn w:val="ArticleBJL7"/>
    <w:next w:val="Normal"/>
    <w:qFormat/>
    <w:pPr>
      <w:numPr>
        <w:ilvl w:val="0"/>
        <w:numId w:val="3"/>
      </w:numPr>
      <w:outlineLvl w:val="7"/>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2001-01-15T14:02:00Z</dcterms:created>
  <dc:creator>Robin Masciangelo</dc:creator>
  <dc:description/>
  <dc:language>en-CA</dc:language>
  <cp:lastModifiedBy>Robin Masciangelo</cp:lastModifiedBy>
  <dcterms:modified xsi:type="dcterms:W3CDTF">2001-01-15T14:24:00Z</dcterms:modified>
  <cp:revision>3</cp:revision>
  <dc:subject/>
  <dc:title>Enron North America Agreement:</dc:title>
</cp:coreProperties>
</file>