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omic Sans MS" w:hAnsi="Comic Sans MS" w:cs="Comic Sans MS"/>
        </w:rPr>
      </w:pPr>
      <w:r>
        <w:rPr>
          <w:rFonts w:cs="Comic Sans MS" w:ascii="Comic Sans MS" w:hAnsi="Comic Sans MS"/>
        </w:rPr>
        <w:t>To all Enron Networks Professionals:</w:t>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t>You do not need me to tell you that we are going through a tough time here at Enron. There is a great deal of uncertainty about what the Enron/Dynegy merger will mean for our company, and all of us as professional workers. It doesn’t help matters that there is also a great deal of speculation and rumor flowing around the company.</w:t>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t>Anyway, given the events of the past week I have had to quickly rethink our IT management structure. Today I am announcing another reorganization. The rationale behind this change is for us to focus our existing expertise on our core strengths with a view to ensuring Enron continues to manage its core business effectively and efficiently, whilst positioning us for a successful merger with Dynegy.</w:t>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t>Steve Hotte will be returning to his lead role in EGS.</w:t>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t>Beth Perlman will lead the Gas, Coal and other EGM/EIM systems initiatives. Jeff Johnson will report into Beth Perlman.</w:t>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t>Anthony Dayao will now run all of Power, wholesale and retail and EES.</w:t>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t>Paul Freeman will continue in his lead role in Europe.</w:t>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t>John Paskin will complete his transfer to head up Corporate systems.</w:t>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t xml:space="preserve">Steve Stock will remain heading up the newly formed Enterprise framework group. </w:t>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t>Jay Webb will continue to run E-Commerce.</w:t>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t>Jenny Rub will continue to run Infrastructure.</w:t>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t>Everett Plante will join my management team in a special projects role, focusing on a number of cross business activities in IT and working on the implications of the Dynegy merger.</w:t>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t>I thank all of you for your continued support in these troubled times and ask you to continue your excellent work and give your full support to the leaders above and the Enron Network group as a whole.</w:t>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t>We are committed to making this merger work.</w:t>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object w:dxaOrig="14884" w:dyaOrig="1144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31.6pt;height:331.9pt" filled="f" o:ole="">
            <v:imagedata r:id="rId3" o:title=""/>
          </v:shape>
          <o:OLEObject Type="Embed" ProgID="" ShapeID="ole_rId2" DrawAspect="Content" ObjectID="_335590398" r:id="rId2"/>
        </w:object>
      </w:r>
    </w:p>
    <w:p>
      <w:pPr>
        <w:pStyle w:val="Normal"/>
        <w:rPr>
          <w:rFonts w:ascii="Comic Sans MS" w:hAnsi="Comic Sans MS" w:cs="Comic Sans MS"/>
        </w:rPr>
      </w:pPr>
      <w:r>
        <w:rPr>
          <w:rFonts w:cs="Comic Sans MS" w:ascii="Comic Sans MS" w:hAnsi="Comic Sans M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mic Sans MS">
    <w:charset w:val="00" w:characterSet="windows-1252"/>
    <w:family w:val="script"/>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2001-11-15T12:21:00Z</dcterms:created>
  <dc:creator>mpicker</dc:creator>
  <dc:description/>
  <dc:language>en-CA</dc:language>
  <cp:lastModifiedBy>mpicker</cp:lastModifiedBy>
  <dcterms:modified xsi:type="dcterms:W3CDTF">2001-11-15T13:10:00Z</dcterms:modified>
  <cp:revision>1</cp:revision>
  <dc:subject/>
  <dc:title>To all Enron Networks Professionals:</dc:title>
</cp:coreProperties>
</file>