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AMENDMENT TO THE</w:t>
      </w:r>
    </w:p>
    <w:p>
      <w:pPr>
        <w:pStyle w:val="Heading"/>
        <w:rPr>
          <w:sz w:val="32"/>
        </w:rPr>
      </w:pPr>
      <w:r>
        <w:rPr>
          <w:sz w:val="32"/>
        </w:rPr>
        <w:t>NATURAL GAS STORAGE</w:t>
      </w:r>
    </w:p>
    <w:p>
      <w:pPr>
        <w:pStyle w:val="Heading"/>
        <w:rPr>
          <w:sz w:val="32"/>
        </w:rPr>
      </w:pPr>
      <w:r>
        <w:rPr>
          <w:sz w:val="32"/>
        </w:rPr>
        <w:t xml:space="preserve"> </w:t>
      </w:r>
      <w:r>
        <w:rPr>
          <w:sz w:val="32"/>
        </w:rPr>
        <w:t xml:space="preserve">AND </w:t>
      </w:r>
    </w:p>
    <w:p>
      <w:pPr>
        <w:pStyle w:val="Heading"/>
        <w:rPr>
          <w:sz w:val="32"/>
        </w:rPr>
      </w:pPr>
      <w:r>
        <w:rPr>
          <w:sz w:val="32"/>
        </w:rPr>
        <w:t>BRINE SERVICE AGREEMENT</w:t>
      </w:r>
    </w:p>
    <w:p>
      <w:pPr>
        <w:pStyle w:val="Normal"/>
        <w:jc w:val="both"/>
        <w:rPr>
          <w:sz w:val="24"/>
        </w:rPr>
      </w:pPr>
      <w:r>
        <w:rPr>
          <w:sz w:val="24"/>
        </w:rPr>
      </w:r>
    </w:p>
    <w:p>
      <w:pPr>
        <w:pStyle w:val="Normal"/>
        <w:jc w:val="both"/>
        <w:rPr>
          <w:sz w:val="24"/>
        </w:rPr>
      </w:pPr>
      <w:r>
        <w:rPr>
          <w:sz w:val="24"/>
        </w:rPr>
      </w:r>
    </w:p>
    <w:p>
      <w:pPr>
        <w:pStyle w:val="Normal"/>
        <w:ind w:firstLine="720" w:end="0"/>
        <w:jc w:val="both"/>
        <w:rPr>
          <w:sz w:val="24"/>
        </w:rPr>
      </w:pPr>
      <w:r>
        <w:rPr>
          <w:sz w:val="24"/>
        </w:rPr>
        <w:t>This AMENDMENT TO THE NATURAL GAS STORAGE AND BRINE SERVICE AGREEMENT (“Amendment”) is effective on June 1, 2001 and is between LRCI, Inc., (successor in interest to Enron Storage Company), a Delaware corporation, having its business headquarters in Houston, Texas (“ESC”) and Dow Hydrocarbons and Resources Inc. (Tax I.D. 38-3008322), a Delaware corporation, having a major manufacturing facility in Plaquemine, Louisiana (“Dow”), collectively the “Parties”.  It is our intent to modify the Agreement between ESC and Dow of May, 1993 as previously amended on September 1, 2000.</w:t>
      </w:r>
    </w:p>
    <w:p>
      <w:pPr>
        <w:pStyle w:val="Normal"/>
        <w:ind w:firstLine="720" w:end="0"/>
        <w:jc w:val="both"/>
        <w:rPr>
          <w:sz w:val="24"/>
        </w:rPr>
      </w:pPr>
      <w:r>
        <w:rPr>
          <w:sz w:val="24"/>
        </w:rPr>
      </w:r>
    </w:p>
    <w:p>
      <w:pPr>
        <w:pStyle w:val="Heading3"/>
        <w:ind w:hanging="0" w:start="0"/>
        <w:rPr>
          <w:b w:val="false"/>
          <w:sz w:val="24"/>
          <w:u w:val="none"/>
        </w:rPr>
      </w:pPr>
      <w:r>
        <w:rPr>
          <w:b w:val="false"/>
          <w:sz w:val="24"/>
          <w:u w:val="none"/>
        </w:rPr>
        <w:t>WITNESSETH:</w:t>
      </w:r>
    </w:p>
    <w:p>
      <w:pPr>
        <w:pStyle w:val="Normal"/>
        <w:jc w:val="both"/>
        <w:rPr>
          <w:b/>
          <w:sz w:val="24"/>
          <w:u w:val="none"/>
        </w:rPr>
      </w:pPr>
      <w:r>
        <w:rPr>
          <w:b/>
          <w:sz w:val="24"/>
          <w:u w:val="none"/>
        </w:rPr>
      </w:r>
    </w:p>
    <w:p>
      <w:pPr>
        <w:pStyle w:val="Normal"/>
        <w:ind w:firstLine="720" w:end="0"/>
        <w:jc w:val="both"/>
        <w:rPr/>
      </w:pPr>
      <w:r>
        <w:rPr>
          <w:sz w:val="24"/>
        </w:rPr>
        <w:t>Whereas, ESC and Dow entered into the Natural Gas Storage and Brine Service Agreement, effective on the 13</w:t>
      </w:r>
      <w:r>
        <w:rPr>
          <w:sz w:val="24"/>
          <w:vertAlign w:val="superscript"/>
        </w:rPr>
        <w:t xml:space="preserve"> th</w:t>
      </w:r>
      <w:r>
        <w:rPr>
          <w:sz w:val="24"/>
        </w:rPr>
        <w:t xml:space="preserve"> day of May 1993;</w:t>
      </w:r>
    </w:p>
    <w:p>
      <w:pPr>
        <w:pStyle w:val="Normal"/>
        <w:jc w:val="both"/>
        <w:rPr>
          <w:sz w:val="24"/>
        </w:rPr>
      </w:pPr>
      <w:r>
        <w:rPr>
          <w:sz w:val="24"/>
        </w:rPr>
      </w:r>
    </w:p>
    <w:p>
      <w:pPr>
        <w:pStyle w:val="Normal"/>
        <w:ind w:firstLine="720" w:end="0"/>
        <w:jc w:val="both"/>
        <w:rPr/>
      </w:pPr>
      <w:r>
        <w:rPr>
          <w:sz w:val="24"/>
        </w:rPr>
        <w:t>Whereas, ESC and Dow entered into an amendment of said agreement, dated the 26</w:t>
      </w:r>
      <w:r>
        <w:rPr>
          <w:sz w:val="24"/>
          <w:vertAlign w:val="superscript"/>
        </w:rPr>
        <w:t>th</w:t>
      </w:r>
      <w:r>
        <w:rPr>
          <w:sz w:val="24"/>
        </w:rPr>
        <w:t xml:space="preserve"> day of September 1994 (the “1</w:t>
      </w:r>
      <w:r>
        <w:rPr>
          <w:sz w:val="24"/>
          <w:vertAlign w:val="superscript"/>
        </w:rPr>
        <w:t>st</w:t>
      </w:r>
      <w:r>
        <w:rPr>
          <w:sz w:val="24"/>
        </w:rPr>
        <w:t xml:space="preserve"> Amendment”) and on September 1, 2000 (the “Second Amendment”) (said agreement as amended previously and by this Amendment is referred to as the “Agreement”); and</w:t>
      </w:r>
    </w:p>
    <w:p>
      <w:pPr>
        <w:pStyle w:val="Normal"/>
        <w:ind w:firstLine="720" w:end="0"/>
        <w:jc w:val="both"/>
        <w:rPr>
          <w:sz w:val="24"/>
        </w:rPr>
      </w:pPr>
      <w:r>
        <w:rPr>
          <w:sz w:val="24"/>
        </w:rPr>
      </w:r>
    </w:p>
    <w:p>
      <w:pPr>
        <w:pStyle w:val="Normal"/>
        <w:ind w:firstLine="720" w:end="0"/>
        <w:jc w:val="both"/>
        <w:rPr>
          <w:sz w:val="24"/>
        </w:rPr>
      </w:pPr>
      <w:r>
        <w:rPr>
          <w:sz w:val="24"/>
        </w:rPr>
        <w:t>Whereas, the parties desire to amend the Agreement in accordance with paragraph 15.10 of the Agreement.</w:t>
      </w:r>
    </w:p>
    <w:p>
      <w:pPr>
        <w:pStyle w:val="Normal"/>
        <w:jc w:val="both"/>
        <w:rPr>
          <w:sz w:val="24"/>
        </w:rPr>
      </w:pPr>
      <w:r>
        <w:rPr>
          <w:sz w:val="24"/>
        </w:rPr>
      </w:r>
    </w:p>
    <w:p>
      <w:pPr>
        <w:pStyle w:val="Normal"/>
        <w:ind w:firstLine="720" w:end="0"/>
        <w:jc w:val="both"/>
        <w:rPr>
          <w:sz w:val="24"/>
        </w:rPr>
      </w:pPr>
      <w:r>
        <w:rPr>
          <w:sz w:val="24"/>
        </w:rPr>
        <w:t>Now Therefore, in consideration of the above premises, the parties hereto agree to the following modifications to the Agreement:</w:t>
      </w:r>
    </w:p>
    <w:p>
      <w:pPr>
        <w:pStyle w:val="Normal"/>
        <w:jc w:val="both"/>
        <w:rPr>
          <w:sz w:val="24"/>
        </w:rPr>
      </w:pPr>
      <w:r>
        <w:rPr>
          <w:sz w:val="24"/>
        </w:rPr>
      </w:r>
    </w:p>
    <w:p>
      <w:pPr>
        <w:pStyle w:val="Normal"/>
        <w:numPr>
          <w:ilvl w:val="0"/>
          <w:numId w:val="2"/>
        </w:numPr>
        <w:tabs>
          <w:tab w:val="clear" w:pos="720"/>
        </w:tabs>
        <w:ind w:hanging="0" w:start="0" w:end="0"/>
        <w:jc w:val="both"/>
        <w:rPr>
          <w:sz w:val="24"/>
        </w:rPr>
      </w:pPr>
      <w:r>
        <w:rPr>
          <w:sz w:val="24"/>
        </w:rPr>
        <w:t>Paragraph 2 of the Second Amendment is deleted and replaced with the following:</w:t>
      </w:r>
    </w:p>
    <w:p>
      <w:pPr>
        <w:pStyle w:val="Normal"/>
        <w:jc w:val="both"/>
        <w:rPr>
          <w:sz w:val="24"/>
        </w:rPr>
      </w:pPr>
      <w:r>
        <w:rPr>
          <w:sz w:val="24"/>
        </w:rPr>
      </w:r>
    </w:p>
    <w:p>
      <w:pPr>
        <w:pStyle w:val="Normal"/>
        <w:ind w:start="720" w:end="0"/>
        <w:jc w:val="both"/>
        <w:rPr>
          <w:sz w:val="24"/>
        </w:rPr>
      </w:pPr>
      <w:r>
        <w:rPr>
          <w:sz w:val="24"/>
        </w:rPr>
        <w:t>“</w:t>
      </w:r>
      <w:r>
        <w:rPr>
          <w:sz w:val="24"/>
        </w:rPr>
        <w:t>ESC agrees to use reasonable best efforts to have permanently removed at least 2 BCF of Natural Gas from Dow wells 13 and 14 within 190 days following the date natural gas injections begin into the ESC well.  At such time, ESC shall thereafter surrender the storage rights of 2 BCF of Working Capacity in Dow wells 13 and 14.  ESC further agrees to use reasonable best efforts to have all remaining Natural Gas which is part of the Working Capacity removed from Dow wells 13 and 14 within 220 days following the date natural gas injections begin into the ESC well.”</w:t>
      </w:r>
    </w:p>
    <w:p>
      <w:pPr>
        <w:pStyle w:val="Normal"/>
        <w:jc w:val="both"/>
        <w:rPr>
          <w:sz w:val="24"/>
        </w:rPr>
      </w:pPr>
      <w:r>
        <w:rPr>
          <w:sz w:val="24"/>
        </w:rPr>
      </w:r>
    </w:p>
    <w:p>
      <w:pPr>
        <w:pStyle w:val="Normal"/>
        <w:numPr>
          <w:ilvl w:val="0"/>
          <w:numId w:val="2"/>
        </w:numPr>
        <w:tabs>
          <w:tab w:val="clear" w:pos="720"/>
        </w:tabs>
        <w:ind w:hanging="0" w:start="0" w:end="0"/>
        <w:jc w:val="both"/>
        <w:rPr>
          <w:sz w:val="24"/>
        </w:rPr>
      </w:pPr>
      <w:r>
        <w:rPr>
          <w:sz w:val="24"/>
        </w:rPr>
        <w:t>Paragraph 3 of the Second Amendment is deleted and replaced with the following:</w:t>
      </w:r>
    </w:p>
    <w:p>
      <w:pPr>
        <w:pStyle w:val="Normal"/>
        <w:jc w:val="both"/>
        <w:rPr>
          <w:sz w:val="24"/>
        </w:rPr>
      </w:pPr>
      <w:r>
        <w:rPr>
          <w:sz w:val="24"/>
        </w:rPr>
      </w:r>
    </w:p>
    <w:p>
      <w:pPr>
        <w:pStyle w:val="Normal"/>
        <w:ind w:start="720" w:end="0"/>
        <w:jc w:val="both"/>
        <w:rPr>
          <w:sz w:val="24"/>
        </w:rPr>
      </w:pPr>
      <w:r>
        <w:rPr>
          <w:sz w:val="24"/>
        </w:rPr>
        <w:t>“</w:t>
      </w:r>
      <w:r>
        <w:rPr>
          <w:sz w:val="24"/>
        </w:rPr>
        <w:t>ESC agrees that Dow, or Dow’s designee, shall have the storage rights to the 2 BCF Working Capacity in Dow wells 13 and 14 that ESC has surrendered at day 190 as provided in paragraph 2 of this Amendment.  Further, ESC agrees that Dow shall have the right to connect the necessary piping to Dow wells 13 and 14 at or near the wellhead during the 190 day period following the date natural gas injections begin into the ESC well to allow Dow, after such 190 day period, to inject and withdraw Natural Gas from Dow wells 13 and 14.  During the time that Dow connects the necessary piping to Dow wells 13 and 14, Dow and ESC will coordinate such work so as to minimize the interruption to ESC’s existing storage operations in Dow wells 13 and 14.  Without the rights to use ESC’s existing compression equipment, Dow shall have rights to 50% of the injection capacity and 50% of the withdrawal capacity of Dow wells 13 and 14 during the time period from day 190 to day 220 following the date natural gas injections begin into the ESC well.  Any withdrawal capacity not used by Dow shall be available to ESC.”</w:t>
      </w:r>
    </w:p>
    <w:p>
      <w:pPr>
        <w:pStyle w:val="Normal"/>
        <w:ind w:start="720" w:end="0"/>
        <w:jc w:val="both"/>
        <w:rPr>
          <w:sz w:val="24"/>
        </w:rPr>
      </w:pPr>
      <w:r>
        <w:rPr>
          <w:sz w:val="24"/>
        </w:rPr>
      </w:r>
    </w:p>
    <w:p>
      <w:pPr>
        <w:pStyle w:val="Normal"/>
        <w:numPr>
          <w:ilvl w:val="0"/>
          <w:numId w:val="2"/>
        </w:numPr>
        <w:tabs>
          <w:tab w:val="clear" w:pos="720"/>
        </w:tabs>
        <w:ind w:hanging="720" w:start="720" w:end="0"/>
        <w:jc w:val="both"/>
        <w:rPr>
          <w:sz w:val="24"/>
        </w:rPr>
      </w:pPr>
      <w:r>
        <w:rPr>
          <w:sz w:val="24"/>
        </w:rPr>
        <w:t>The lease fee described in Paragraph 3.3 of the Agreement is modified as follows:</w:t>
      </w:r>
    </w:p>
    <w:p>
      <w:pPr>
        <w:pStyle w:val="Normal"/>
        <w:jc w:val="both"/>
        <w:rPr>
          <w:sz w:val="24"/>
        </w:rPr>
      </w:pPr>
      <w:r>
        <w:rPr>
          <w:sz w:val="24"/>
        </w:rPr>
      </w:r>
    </w:p>
    <w:p>
      <w:pPr>
        <w:pStyle w:val="Normal"/>
        <w:numPr>
          <w:ilvl w:val="0"/>
          <w:numId w:val="3"/>
        </w:numPr>
        <w:tabs>
          <w:tab w:val="clear" w:pos="720"/>
          <w:tab w:val="left" w:pos="1080" w:leader="none"/>
        </w:tabs>
        <w:ind w:hanging="360" w:start="1080" w:end="0"/>
        <w:jc w:val="both"/>
        <w:rPr>
          <w:sz w:val="24"/>
        </w:rPr>
      </w:pPr>
      <w:r>
        <w:rPr>
          <w:sz w:val="24"/>
        </w:rPr>
        <w:t xml:space="preserve">The current lease rate, contained in paragraph 3.3, of $50,000 per BCF of Working Capacity per calendar quarter based upon Dow wells 13 and 14 having 4.6 BCF of Working Capacity will remain in effect to September 8, 2000.  </w:t>
      </w:r>
    </w:p>
    <w:p>
      <w:pPr>
        <w:pStyle w:val="Normal"/>
        <w:numPr>
          <w:ilvl w:val="0"/>
          <w:numId w:val="3"/>
        </w:numPr>
        <w:tabs>
          <w:tab w:val="clear" w:pos="720"/>
          <w:tab w:val="left" w:pos="1080" w:leader="none"/>
        </w:tabs>
        <w:ind w:hanging="360" w:start="1080" w:end="0"/>
        <w:jc w:val="both"/>
        <w:rPr>
          <w:sz w:val="24"/>
        </w:rPr>
      </w:pPr>
      <w:r>
        <w:rPr>
          <w:sz w:val="24"/>
        </w:rPr>
        <w:t xml:space="preserve">From September 8, 2000 to the date gas injections begin into the ESC well, the lease rate will be $25,000 per BCF of Working Capacity per calendar quarter based upon Dow wells 13 and 14 having 4.6 BCF of Working Capacity.  </w:t>
      </w:r>
    </w:p>
    <w:p>
      <w:pPr>
        <w:pStyle w:val="Normal"/>
        <w:numPr>
          <w:ilvl w:val="0"/>
          <w:numId w:val="3"/>
        </w:numPr>
        <w:tabs>
          <w:tab w:val="clear" w:pos="720"/>
          <w:tab w:val="left" w:pos="1080" w:leader="none"/>
        </w:tabs>
        <w:ind w:hanging="360" w:start="1080" w:end="0"/>
        <w:jc w:val="both"/>
        <w:rPr>
          <w:sz w:val="24"/>
        </w:rPr>
      </w:pPr>
      <w:r>
        <w:rPr>
          <w:sz w:val="24"/>
        </w:rPr>
        <w:t xml:space="preserve">From the date natural gas injections begin into the ESC well and continuing for 120 days thereafter, the lease rate will be $50,000 per BCF of Working Capacity per calendar quarter based upon Dow wells 13 and 14 having 4.6 BCF of Working Capacity.  </w:t>
      </w:r>
    </w:p>
    <w:p>
      <w:pPr>
        <w:pStyle w:val="Normal"/>
        <w:numPr>
          <w:ilvl w:val="0"/>
          <w:numId w:val="3"/>
        </w:numPr>
        <w:tabs>
          <w:tab w:val="clear" w:pos="720"/>
          <w:tab w:val="left" w:pos="1080" w:leader="none"/>
        </w:tabs>
        <w:ind w:hanging="360" w:start="1080" w:end="0"/>
        <w:jc w:val="both"/>
        <w:rPr>
          <w:sz w:val="24"/>
        </w:rPr>
      </w:pPr>
      <w:r>
        <w:rPr>
          <w:sz w:val="24"/>
        </w:rPr>
        <w:t xml:space="preserve">Beginning on day 121 after natural gas injections begin into the ESC well and continuing through day 190 (i.e., 70 days), the lease rate will be $62,500 per BCF of Working Capacity per calendar quarter based upon Dow wells 13 and 14 having 4.1 BCF of Working Capacity.  </w:t>
      </w:r>
    </w:p>
    <w:p>
      <w:pPr>
        <w:pStyle w:val="Normal"/>
        <w:numPr>
          <w:ilvl w:val="0"/>
          <w:numId w:val="3"/>
        </w:numPr>
        <w:tabs>
          <w:tab w:val="clear" w:pos="720"/>
          <w:tab w:val="left" w:pos="1080" w:leader="none"/>
        </w:tabs>
        <w:ind w:hanging="360" w:start="1080" w:end="0"/>
        <w:jc w:val="both"/>
        <w:rPr>
          <w:sz w:val="24"/>
        </w:rPr>
      </w:pPr>
      <w:r>
        <w:rPr>
          <w:sz w:val="24"/>
        </w:rPr>
        <w:t>Beginning on day 191 after natural gas injections begin into the ESC well and continuing until ESC exits from Dow wells 13 and 14, the lease rate will be $62,500 per BCF of Working Capacity per calendar quarter based upon Dow wells 13 and 14 having 2.1 BCF of Working Capacity.</w:t>
      </w:r>
    </w:p>
    <w:p>
      <w:pPr>
        <w:pStyle w:val="Normal"/>
        <w:numPr>
          <w:ilvl w:val="0"/>
          <w:numId w:val="3"/>
        </w:numPr>
        <w:tabs>
          <w:tab w:val="clear" w:pos="720"/>
          <w:tab w:val="left" w:pos="1080" w:leader="none"/>
        </w:tabs>
        <w:ind w:hanging="360" w:start="1080" w:end="0"/>
        <w:jc w:val="both"/>
        <w:rPr>
          <w:sz w:val="24"/>
        </w:rPr>
      </w:pPr>
      <w:r>
        <w:rPr>
          <w:sz w:val="24"/>
        </w:rPr>
        <w:t>In the event that lease rates are in effect for a partial calendar quarter, then such rates shall be prorated based on the ratio of the number of days the applicable rate is in effect in the calendar quarter to the number of days in the calendar quarter.</w:t>
      </w:r>
    </w:p>
    <w:p>
      <w:pPr>
        <w:pStyle w:val="Normal"/>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4"/>
        </w:rPr>
      </w:pPr>
      <w:r>
        <w:rPr>
          <w:sz w:val="24"/>
        </w:rPr>
        <w:t>4.</w:t>
        <w:tab/>
        <w:t xml:space="preserve">Any conflicts between this Amendment and the Agreement will be resolved in favor of this Amendment.  Except as modified in this Amendment, all other terms and conditions of the Agreement remain in full force and effect.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bCs/>
          <w:sz w:val="24"/>
        </w:rPr>
      </w:pPr>
      <w:r>
        <w:rPr>
          <w:b/>
          <w:bCs/>
          <w:sz w:val="24"/>
        </w:rPr>
        <w:t>[signatures on next page]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b/>
          <w:bCs/>
          <w:sz w:val="24"/>
        </w:rPr>
      </w:pPr>
      <w:r>
        <w:rPr>
          <w:b/>
          <w:bCs/>
          <w:sz w:val="24"/>
        </w:rPr>
      </w:r>
    </w:p>
    <w:p>
      <w:pPr>
        <w:pStyle w:val="Normal"/>
        <w:tabs>
          <w:tab w:val="clear" w:pos="720"/>
          <w:tab w:val="left" w:pos="0" w:leader="none"/>
          <w:tab w:val="left" w:pos="73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sz w:val="24"/>
        </w:rPr>
        <w:tab/>
        <w:t>IN WITNESS WHEREOF, ESC and Dow have executed this Amendment, which may be executed by counterparts, both of which together constitute this Amendment and any modification to one of the counterparts shall have no effect.</w:t>
      </w:r>
    </w:p>
    <w:p>
      <w:pPr>
        <w:pStyle w:val="Normal"/>
        <w:widowControl w:val="false"/>
        <w:tabs>
          <w:tab w:val="clear" w:pos="720"/>
          <w:tab w:val="left" w:pos="737" w:leader="none"/>
        </w:tabs>
        <w:spacing w:lineRule="exact" w:line="362"/>
        <w:rPr>
          <w:sz w:val="24"/>
        </w:rPr>
      </w:pPr>
      <w:r>
        <w:rPr>
          <w:sz w:val="24"/>
        </w:rPr>
      </w:r>
    </w:p>
    <w:p>
      <w:pPr>
        <w:pStyle w:val="Normal"/>
        <w:widowControl w:val="false"/>
        <w:tabs>
          <w:tab w:val="clear" w:pos="720"/>
          <w:tab w:val="left" w:pos="204" w:leader="none"/>
        </w:tabs>
        <w:spacing w:lineRule="exact" w:line="362"/>
        <w:rPr>
          <w:sz w:val="24"/>
        </w:rPr>
      </w:pPr>
      <w:r>
        <w:rPr>
          <w:sz w:val="24"/>
        </w:rPr>
        <w:t>UNDERSTOOD AND AGREED TO:</w:t>
      </w:r>
    </w:p>
    <w:p>
      <w:pPr>
        <w:pStyle w:val="Normal"/>
        <w:widowControl w:val="false"/>
        <w:tabs>
          <w:tab w:val="clear" w:pos="720"/>
          <w:tab w:val="left" w:pos="204" w:leader="none"/>
        </w:tabs>
        <w:spacing w:lineRule="exact" w:line="362"/>
        <w:rPr>
          <w:sz w:val="24"/>
        </w:rPr>
      </w:pPr>
      <w:r>
        <w:rPr>
          <w:sz w:val="24"/>
        </w:rPr>
      </w:r>
    </w:p>
    <w:p>
      <w:pPr>
        <w:pStyle w:val="Normal"/>
        <w:widowControl w:val="false"/>
        <w:tabs>
          <w:tab w:val="clear" w:pos="720"/>
          <w:tab w:val="left" w:pos="204" w:leader="none"/>
        </w:tabs>
        <w:rPr>
          <w:sz w:val="24"/>
        </w:rPr>
      </w:pPr>
      <w:r>
        <w:rPr>
          <w:sz w:val="24"/>
        </w:rPr>
      </w:r>
    </w:p>
    <w:p>
      <w:pPr>
        <w:pStyle w:val="Heading2"/>
        <w:ind w:hanging="0" w:start="0"/>
        <w:rPr>
          <w:sz w:val="24"/>
        </w:rPr>
      </w:pPr>
      <w:r>
        <w:rPr>
          <w:sz w:val="24"/>
        </w:rPr>
        <w:t>LRCI, Inc.</w:t>
        <w:tab/>
        <w:tab/>
        <w:tab/>
        <w:tab/>
        <w:tab/>
        <w:tab/>
        <w:t>WITNESSES</w:t>
      </w:r>
    </w:p>
    <w:p>
      <w:pPr>
        <w:pStyle w:val="Normal"/>
        <w:widowControl w:val="false"/>
        <w:tabs>
          <w:tab w:val="clear" w:pos="720"/>
          <w:tab w:val="left" w:pos="204" w:leader="none"/>
        </w:tabs>
        <w:rPr>
          <w:sz w:val="24"/>
        </w:rPr>
      </w:pPr>
      <w:r>
        <w:rPr>
          <w:sz w:val="24"/>
        </w:rPr>
      </w:r>
    </w:p>
    <w:p>
      <w:pPr>
        <w:pStyle w:val="Normal"/>
        <w:widowControl w:val="false"/>
        <w:tabs>
          <w:tab w:val="clear" w:pos="720"/>
          <w:tab w:val="left" w:pos="204" w:leader="none"/>
        </w:tabs>
        <w:rPr>
          <w:sz w:val="24"/>
        </w:rPr>
      </w:pPr>
      <w:r>
        <w:rPr>
          <w:sz w:val="24"/>
        </w:rPr>
      </w:r>
    </w:p>
    <w:p>
      <w:pPr>
        <w:pStyle w:val="Normal"/>
        <w:widowControl w:val="false"/>
        <w:tabs>
          <w:tab w:val="clear" w:pos="720"/>
          <w:tab w:val="left" w:pos="204" w:leader="none"/>
        </w:tabs>
        <w:rPr>
          <w:sz w:val="24"/>
        </w:rPr>
      </w:pPr>
      <w:r>
        <w:rPr>
          <w:sz w:val="24"/>
        </w:rPr>
        <w:t>By:</w:t>
      </w:r>
      <w:r>
        <w:rPr>
          <w:sz w:val="24"/>
          <w:u w:val="single"/>
        </w:rPr>
        <w:tab/>
        <w:tab/>
        <w:tab/>
        <w:tab/>
        <w:tab/>
      </w:r>
      <w:r>
        <w:rPr>
          <w:sz w:val="24"/>
        </w:rPr>
        <w:tab/>
      </w:r>
      <w:r>
        <w:rPr>
          <w:sz w:val="24"/>
          <w:u w:val="single"/>
        </w:rPr>
        <w:tab/>
        <w:tab/>
        <w:tab/>
        <w:tab/>
        <w:tab/>
      </w:r>
    </w:p>
    <w:p>
      <w:pPr>
        <w:pStyle w:val="Normal"/>
        <w:widowControl w:val="false"/>
        <w:tabs>
          <w:tab w:val="clear" w:pos="720"/>
          <w:tab w:val="left" w:pos="204" w:leader="none"/>
        </w:tabs>
        <w:rPr>
          <w:sz w:val="24"/>
        </w:rPr>
      </w:pPr>
      <w:r>
        <w:rPr>
          <w:sz w:val="24"/>
        </w:rPr>
        <w:t xml:space="preserve">        </w:t>
      </w:r>
      <w:r>
        <w:rPr>
          <w:sz w:val="24"/>
        </w:rPr>
        <w:t>Stephen C. Schneider</w:t>
      </w:r>
    </w:p>
    <w:p>
      <w:pPr>
        <w:pStyle w:val="Normal"/>
        <w:widowControl w:val="false"/>
        <w:tabs>
          <w:tab w:val="clear" w:pos="720"/>
          <w:tab w:val="left" w:pos="204" w:leader="none"/>
        </w:tabs>
        <w:rPr>
          <w:sz w:val="24"/>
        </w:rPr>
      </w:pPr>
      <w:r>
        <w:rPr>
          <w:sz w:val="24"/>
        </w:rPr>
        <w:t xml:space="preserve">        </w:t>
      </w:r>
      <w:r>
        <w:rPr>
          <w:sz w:val="24"/>
        </w:rPr>
        <w:t>Vice-President</w:t>
        <w:tab/>
        <w:tab/>
        <w:tab/>
        <w:tab/>
        <w:t xml:space="preserve">______________________________    </w:t>
      </w:r>
    </w:p>
    <w:p>
      <w:pPr>
        <w:pStyle w:val="Normal"/>
        <w:widowControl w:val="false"/>
        <w:tabs>
          <w:tab w:val="clear" w:pos="720"/>
          <w:tab w:val="left" w:pos="204" w:leader="none"/>
        </w:tabs>
        <w:rPr>
          <w:sz w:val="24"/>
        </w:rPr>
      </w:pPr>
      <w:r>
        <w:rPr>
          <w:sz w:val="24"/>
        </w:rPr>
      </w:r>
    </w:p>
    <w:p>
      <w:pPr>
        <w:pStyle w:val="Normal"/>
        <w:widowControl w:val="false"/>
        <w:tabs>
          <w:tab w:val="clear" w:pos="720"/>
          <w:tab w:val="left" w:pos="204" w:leader="none"/>
        </w:tabs>
        <w:rPr>
          <w:sz w:val="24"/>
        </w:rPr>
      </w:pPr>
      <w:r>
        <w:rPr>
          <w:sz w:val="24"/>
        </w:rPr>
      </w:r>
    </w:p>
    <w:p>
      <w:pPr>
        <w:pStyle w:val="Normal"/>
        <w:widowControl w:val="false"/>
        <w:tabs>
          <w:tab w:val="clear" w:pos="720"/>
          <w:tab w:val="left" w:pos="204" w:leader="none"/>
        </w:tabs>
        <w:jc w:val="both"/>
        <w:rPr>
          <w:sz w:val="24"/>
        </w:rPr>
      </w:pPr>
      <w:r>
        <w:rPr>
          <w:sz w:val="24"/>
        </w:rPr>
        <w:t>Before me personally appeared the above representative of LRCI, Inc, who subscribed this Agreement before me this ___th day of May, 2001.</w:t>
      </w:r>
    </w:p>
    <w:p>
      <w:pPr>
        <w:pStyle w:val="Normal"/>
        <w:widowControl w:val="false"/>
        <w:tabs>
          <w:tab w:val="clear" w:pos="720"/>
          <w:tab w:val="left" w:pos="204" w:leader="none"/>
        </w:tabs>
        <w:rPr>
          <w:sz w:val="24"/>
        </w:rPr>
      </w:pPr>
      <w:r>
        <w:rPr>
          <w:sz w:val="24"/>
        </w:rPr>
      </w:r>
    </w:p>
    <w:p>
      <w:pPr>
        <w:pStyle w:val="Normal"/>
        <w:widowControl w:val="false"/>
        <w:tabs>
          <w:tab w:val="clear" w:pos="720"/>
          <w:tab w:val="left" w:pos="204" w:leader="none"/>
        </w:tabs>
        <w:rPr>
          <w:sz w:val="24"/>
        </w:rPr>
      </w:pPr>
      <w:r>
        <w:rPr>
          <w:sz w:val="24"/>
        </w:rPr>
      </w:r>
    </w:p>
    <w:p>
      <w:pPr>
        <w:pStyle w:val="Normal"/>
        <w:widowControl w:val="false"/>
        <w:tabs>
          <w:tab w:val="clear" w:pos="720"/>
          <w:tab w:val="left" w:pos="204" w:leader="none"/>
        </w:tabs>
        <w:rPr>
          <w:sz w:val="24"/>
        </w:rPr>
      </w:pPr>
      <w:r>
        <w:rPr>
          <w:sz w:val="24"/>
        </w:rPr>
        <w:tab/>
        <w:tab/>
        <w:tab/>
        <w:tab/>
        <w:tab/>
        <w:tab/>
        <w:tab/>
      </w:r>
      <w:r>
        <w:rPr>
          <w:sz w:val="24"/>
          <w:u w:val="single"/>
        </w:rPr>
        <w:tab/>
        <w:tab/>
        <w:tab/>
        <w:tab/>
        <w:tab/>
      </w:r>
    </w:p>
    <w:p>
      <w:pPr>
        <w:pStyle w:val="Normal"/>
        <w:widowControl w:val="false"/>
        <w:tabs>
          <w:tab w:val="clear" w:pos="720"/>
          <w:tab w:val="left" w:pos="204" w:leader="none"/>
        </w:tabs>
        <w:rPr>
          <w:sz w:val="24"/>
        </w:rPr>
      </w:pPr>
      <w:r>
        <w:rPr>
          <w:sz w:val="24"/>
        </w:rPr>
        <w:tab/>
        <w:tab/>
        <w:tab/>
        <w:tab/>
        <w:tab/>
        <w:tab/>
        <w:tab/>
        <w:t>Notary Public in and for the State of Texas</w:t>
      </w:r>
    </w:p>
    <w:p>
      <w:pPr>
        <w:pStyle w:val="Normal"/>
        <w:widowControl w:val="false"/>
        <w:tabs>
          <w:tab w:val="clear" w:pos="720"/>
          <w:tab w:val="left" w:pos="204" w:leader="none"/>
        </w:tabs>
        <w:spacing w:lineRule="exact" w:line="362"/>
        <w:rPr>
          <w:sz w:val="24"/>
        </w:rPr>
      </w:pPr>
      <w:r>
        <w:rPr>
          <w:sz w:val="24"/>
        </w:rPr>
      </w:r>
    </w:p>
    <w:p>
      <w:pPr>
        <w:pStyle w:val="Normal"/>
        <w:widowControl w:val="false"/>
        <w:tabs>
          <w:tab w:val="clear" w:pos="720"/>
          <w:tab w:val="left" w:pos="204" w:leader="none"/>
        </w:tabs>
        <w:rPr>
          <w:b/>
          <w:sz w:val="24"/>
        </w:rPr>
      </w:pPr>
      <w:r>
        <w:rPr>
          <w:b/>
          <w:sz w:val="24"/>
        </w:rPr>
        <w:t>DOW HYDROCARBONS AND RESOURCES INC.</w:t>
      </w:r>
    </w:p>
    <w:p>
      <w:pPr>
        <w:pStyle w:val="Normal"/>
        <w:widowControl w:val="false"/>
        <w:tabs>
          <w:tab w:val="clear" w:pos="720"/>
          <w:tab w:val="left" w:pos="5108" w:leader="none"/>
        </w:tabs>
        <w:rPr>
          <w:b/>
          <w:sz w:val="24"/>
        </w:rPr>
      </w:pPr>
      <w:r>
        <w:rPr>
          <w:b/>
          <w:sz w:val="24"/>
        </w:rPr>
      </w:r>
    </w:p>
    <w:p>
      <w:pPr>
        <w:pStyle w:val="Normal"/>
        <w:widowControl w:val="false"/>
        <w:tabs>
          <w:tab w:val="clear" w:pos="720"/>
          <w:tab w:val="left" w:pos="204" w:leader="none"/>
        </w:tabs>
        <w:rPr>
          <w:b/>
          <w:sz w:val="24"/>
        </w:rPr>
      </w:pPr>
      <w:r>
        <w:rPr>
          <w:b/>
          <w:sz w:val="24"/>
        </w:rPr>
      </w:r>
    </w:p>
    <w:p>
      <w:pPr>
        <w:pStyle w:val="Normal"/>
        <w:widowControl w:val="false"/>
        <w:tabs>
          <w:tab w:val="clear" w:pos="720"/>
          <w:tab w:val="left" w:pos="204" w:leader="none"/>
        </w:tabs>
        <w:rPr>
          <w:sz w:val="24"/>
        </w:rPr>
      </w:pPr>
      <w:r>
        <w:rPr>
          <w:sz w:val="24"/>
        </w:rPr>
        <w:tab/>
        <w:tab/>
        <w:tab/>
        <w:tab/>
        <w:tab/>
        <w:tab/>
        <w:tab/>
      </w:r>
      <w:r>
        <w:rPr>
          <w:b/>
          <w:sz w:val="24"/>
        </w:rPr>
        <w:t>WITNESSES</w:t>
      </w:r>
    </w:p>
    <w:p>
      <w:pPr>
        <w:pStyle w:val="Normal"/>
        <w:widowControl w:val="false"/>
        <w:tabs>
          <w:tab w:val="clear" w:pos="720"/>
          <w:tab w:val="left" w:pos="204" w:leader="none"/>
        </w:tabs>
        <w:rPr>
          <w:sz w:val="24"/>
        </w:rPr>
      </w:pPr>
      <w:r>
        <w:rPr>
          <w:sz w:val="24"/>
        </w:rPr>
      </w:r>
    </w:p>
    <w:p>
      <w:pPr>
        <w:pStyle w:val="Normal"/>
        <w:widowControl w:val="false"/>
        <w:tabs>
          <w:tab w:val="clear" w:pos="720"/>
          <w:tab w:val="left" w:pos="204" w:leader="none"/>
        </w:tabs>
        <w:rPr>
          <w:sz w:val="24"/>
        </w:rPr>
      </w:pPr>
      <w:r>
        <w:rPr>
          <w:sz w:val="24"/>
        </w:rPr>
        <w:t>BY</w:t>
      </w:r>
      <w:r>
        <w:rPr>
          <w:sz w:val="24"/>
          <w:u w:val="single"/>
        </w:rPr>
        <w:tab/>
        <w:tab/>
        <w:tab/>
        <w:tab/>
        <w:tab/>
      </w:r>
      <w:r>
        <w:rPr>
          <w:sz w:val="24"/>
        </w:rPr>
        <w:tab/>
      </w:r>
      <w:r>
        <w:rPr>
          <w:sz w:val="24"/>
          <w:u w:val="single"/>
        </w:rPr>
        <w:tab/>
        <w:tab/>
        <w:tab/>
        <w:tab/>
        <w:tab/>
      </w:r>
    </w:p>
    <w:p>
      <w:pPr>
        <w:pStyle w:val="Normal"/>
        <w:widowControl w:val="false"/>
        <w:tabs>
          <w:tab w:val="clear" w:pos="720"/>
          <w:tab w:val="left" w:pos="204" w:leader="none"/>
        </w:tabs>
        <w:rPr>
          <w:sz w:val="24"/>
        </w:rPr>
      </w:pPr>
      <w:r>
        <w:rPr>
          <w:sz w:val="24"/>
        </w:rPr>
      </w:r>
    </w:p>
    <w:p>
      <w:pPr>
        <w:pStyle w:val="Normal"/>
        <w:widowControl w:val="false"/>
        <w:tabs>
          <w:tab w:val="clear" w:pos="720"/>
          <w:tab w:val="left" w:pos="204" w:leader="none"/>
        </w:tabs>
        <w:rPr>
          <w:sz w:val="24"/>
        </w:rPr>
      </w:pPr>
      <w:r>
        <w:rPr>
          <w:sz w:val="24"/>
        </w:rPr>
        <w:tab/>
        <w:tab/>
      </w:r>
    </w:p>
    <w:p>
      <w:pPr>
        <w:pStyle w:val="Normal"/>
        <w:widowControl w:val="false"/>
        <w:tabs>
          <w:tab w:val="clear" w:pos="720"/>
          <w:tab w:val="left" w:pos="204" w:leader="none"/>
        </w:tabs>
        <w:rPr/>
      </w:pPr>
      <w:r>
        <w:rPr>
          <w:sz w:val="24"/>
        </w:rPr>
        <w:t>ITS</w:t>
      </w:r>
      <w:r>
        <w:rPr>
          <w:sz w:val="24"/>
          <w:u w:val="single"/>
        </w:rPr>
        <w:tab/>
        <w:tab/>
        <w:tab/>
        <w:tab/>
        <w:tab/>
      </w:r>
      <w:r>
        <w:rPr>
          <w:sz w:val="24"/>
        </w:rPr>
        <w:tab/>
      </w:r>
      <w:r>
        <w:rPr>
          <w:sz w:val="24"/>
          <w:u w:val="single"/>
        </w:rPr>
        <w:tab/>
        <w:tab/>
        <w:tab/>
        <w:tab/>
        <w:tab/>
      </w:r>
    </w:p>
    <w:p>
      <w:pPr>
        <w:pStyle w:val="Normal"/>
        <w:widowControl w:val="false"/>
        <w:tabs>
          <w:tab w:val="clear" w:pos="720"/>
          <w:tab w:val="left" w:pos="204" w:leader="none"/>
        </w:tabs>
        <w:rPr>
          <w:sz w:val="24"/>
          <w:u w:val="single"/>
        </w:rPr>
      </w:pPr>
      <w:r>
        <w:rPr>
          <w:sz w:val="24"/>
          <w:u w:val="single"/>
        </w:rPr>
      </w:r>
    </w:p>
    <w:p>
      <w:pPr>
        <w:pStyle w:val="Normal"/>
        <w:widowControl w:val="false"/>
        <w:tabs>
          <w:tab w:val="clear" w:pos="720"/>
          <w:tab w:val="left" w:pos="204" w:leader="none"/>
        </w:tabs>
        <w:rPr>
          <w:sz w:val="24"/>
        </w:rPr>
      </w:pPr>
      <w:r>
        <w:rPr>
          <w:sz w:val="24"/>
        </w:rPr>
      </w:r>
    </w:p>
    <w:p>
      <w:pPr>
        <w:pStyle w:val="Normal"/>
        <w:widowControl w:val="false"/>
        <w:tabs>
          <w:tab w:val="clear" w:pos="720"/>
          <w:tab w:val="left" w:pos="5448" w:leader="none"/>
        </w:tabs>
        <w:rPr>
          <w:sz w:val="24"/>
        </w:rPr>
      </w:pPr>
      <w:r>
        <w:rPr>
          <w:b/>
          <w:sz w:val="24"/>
        </w:rPr>
        <w:tab/>
      </w:r>
    </w:p>
    <w:p>
      <w:pPr>
        <w:pStyle w:val="Normal"/>
        <w:widowControl w:val="false"/>
        <w:tabs>
          <w:tab w:val="clear" w:pos="720"/>
          <w:tab w:val="left" w:pos="204" w:leader="none"/>
        </w:tabs>
        <w:spacing w:lineRule="exact" w:line="362"/>
        <w:rPr/>
      </w:pPr>
      <w:r>
        <w:rPr>
          <w:sz w:val="24"/>
        </w:rPr>
        <w:t xml:space="preserve">Before me personally appeared the above representative of Dow Hydrocarbons and Resources Inc., who subscribed this Agreement before me this </w:t>
      </w:r>
      <w:r>
        <w:rPr>
          <w:sz w:val="24"/>
          <w:u w:val="single"/>
        </w:rPr>
        <w:tab/>
        <w:t>____</w:t>
      </w:r>
      <w:r>
        <w:rPr>
          <w:sz w:val="24"/>
        </w:rPr>
        <w:t xml:space="preserve"> day of May, 2001.</w:t>
      </w:r>
    </w:p>
    <w:p>
      <w:pPr>
        <w:pStyle w:val="Normal"/>
        <w:widowControl w:val="false"/>
        <w:tabs>
          <w:tab w:val="clear" w:pos="720"/>
          <w:tab w:val="left" w:pos="204" w:leader="none"/>
        </w:tabs>
        <w:spacing w:lineRule="exact" w:line="362"/>
        <w:rPr>
          <w:sz w:val="24"/>
        </w:rPr>
      </w:pPr>
      <w:r>
        <w:rPr>
          <w:sz w:val="24"/>
        </w:rPr>
      </w:r>
    </w:p>
    <w:p>
      <w:pPr>
        <w:pStyle w:val="Normal"/>
        <w:widowControl w:val="false"/>
        <w:tabs>
          <w:tab w:val="clear" w:pos="720"/>
          <w:tab w:val="left" w:pos="204" w:leader="none"/>
        </w:tabs>
        <w:spacing w:lineRule="exact" w:line="362"/>
        <w:rPr>
          <w:sz w:val="24"/>
        </w:rPr>
      </w:pPr>
      <w:r>
        <w:rPr>
          <w:sz w:val="24"/>
        </w:rPr>
        <w:tab/>
        <w:tab/>
        <w:tab/>
        <w:tab/>
        <w:tab/>
        <w:tab/>
        <w:tab/>
      </w:r>
      <w:r>
        <w:rPr>
          <w:sz w:val="24"/>
          <w:u w:val="single"/>
        </w:rPr>
        <w:tab/>
        <w:tab/>
        <w:tab/>
        <w:tab/>
        <w:tab/>
      </w:r>
    </w:p>
    <w:p>
      <w:pPr>
        <w:pStyle w:val="Normal"/>
        <w:widowControl w:val="false"/>
        <w:tabs>
          <w:tab w:val="clear" w:pos="720"/>
          <w:tab w:val="left" w:pos="204" w:leader="none"/>
        </w:tabs>
        <w:spacing w:lineRule="exact" w:line="362"/>
        <w:rPr>
          <w:sz w:val="24"/>
        </w:rPr>
      </w:pPr>
      <w:r>
        <w:rPr>
          <w:sz w:val="24"/>
        </w:rPr>
        <w:tab/>
        <w:tab/>
        <w:tab/>
        <w:tab/>
        <w:tab/>
        <w:tab/>
        <w:tab/>
        <w:tab/>
        <w:t>Notary Public</w:t>
      </w:r>
    </w:p>
    <w:sectPr>
      <w:footerReference w:type="default" r:id="rId2"/>
      <w:type w:val="nextPage"/>
      <w:pgSz w:w="12240" w:h="15840"/>
      <w:pgMar w:left="1440" w:right="1440" w:gutter="0" w:header="0" w:top="1440" w:footer="721" w:bottom="126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 xml:space="preserve"> of 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204" w:leader="none"/>
      </w:tabs>
      <w:spacing w:lineRule="exact" w:line="651"/>
      <w:ind w:hanging="0" w:start="0" w:end="-73"/>
      <w:outlineLvl w:val="0"/>
    </w:pPr>
    <w:rPr>
      <w:sz w:val="26"/>
    </w:rPr>
  </w:style>
  <w:style w:type="paragraph" w:styleId="Heading2">
    <w:name w:val="heading 2"/>
    <w:basedOn w:val="Normal"/>
    <w:next w:val="Normal"/>
    <w:qFormat/>
    <w:pPr>
      <w:keepNext w:val="true"/>
      <w:widowControl w:val="false"/>
      <w:numPr>
        <w:ilvl w:val="1"/>
        <w:numId w:val="1"/>
      </w:numPr>
      <w:tabs>
        <w:tab w:val="clear" w:pos="720"/>
        <w:tab w:val="left" w:pos="204" w:leader="none"/>
      </w:tabs>
      <w:outlineLvl w:val="1"/>
    </w:pPr>
    <w:rPr>
      <w:b/>
      <w:sz w:val="26"/>
    </w:rPr>
  </w:style>
  <w:style w:type="paragraph" w:styleId="Heading3">
    <w:name w:val="heading 3"/>
    <w:basedOn w:val="Normal"/>
    <w:next w:val="Normal"/>
    <w:qFormat/>
    <w:pPr>
      <w:keepNext w:val="true"/>
      <w:widowControl w:val="false"/>
      <w:numPr>
        <w:ilvl w:val="2"/>
        <w:numId w:val="1"/>
      </w:numPr>
      <w:tabs>
        <w:tab w:val="clear" w:pos="720"/>
        <w:tab w:val="left" w:pos="6168" w:leader="none"/>
      </w:tabs>
      <w:jc w:val="center"/>
      <w:outlineLvl w:val="2"/>
    </w:pPr>
    <w:rPr>
      <w:b/>
      <w:sz w:val="52"/>
      <w:u w:val="single"/>
    </w:rPr>
  </w:style>
  <w:style w:type="paragraph" w:styleId="Heading4">
    <w:name w:val="heading 4"/>
    <w:basedOn w:val="Normal"/>
    <w:next w:val="Normal"/>
    <w:qFormat/>
    <w:pPr>
      <w:keepNext w:val="true"/>
      <w:widowControl w:val="false"/>
      <w:numPr>
        <w:ilvl w:val="3"/>
        <w:numId w:val="1"/>
      </w:numPr>
      <w:tabs>
        <w:tab w:val="clear" w:pos="720"/>
        <w:tab w:val="left" w:pos="765" w:leader="none"/>
        <w:tab w:val="left" w:pos="1468" w:leader="none"/>
      </w:tabs>
      <w:outlineLvl w:val="3"/>
    </w:pPr>
    <w:rPr>
      <w:sz w:val="26"/>
    </w:rPr>
  </w:style>
  <w:style w:type="paragraph" w:styleId="Heading5">
    <w:name w:val="heading 5"/>
    <w:basedOn w:val="Normal"/>
    <w:next w:val="Normal"/>
    <w:qFormat/>
    <w:pPr>
      <w:keepNext w:val="true"/>
      <w:widowControl w:val="false"/>
      <w:numPr>
        <w:ilvl w:val="4"/>
        <w:numId w:val="1"/>
      </w:numPr>
      <w:tabs>
        <w:tab w:val="clear" w:pos="720"/>
        <w:tab w:val="left" w:pos="204" w:leader="none"/>
      </w:tabs>
      <w:spacing w:lineRule="exact" w:line="362"/>
      <w:jc w:val="center"/>
      <w:outlineLvl w:val="4"/>
    </w:pPr>
    <w:rPr>
      <w:b/>
      <w:sz w:val="40"/>
    </w:rPr>
  </w:style>
  <w:style w:type="paragraph" w:styleId="Heading6">
    <w:name w:val="heading 6"/>
    <w:basedOn w:val="Normal"/>
    <w:next w:val="Normal"/>
    <w:qFormat/>
    <w:pPr>
      <w:keepNext w:val="true"/>
      <w:widowControl w:val="false"/>
      <w:numPr>
        <w:ilvl w:val="5"/>
        <w:numId w:val="1"/>
      </w:numPr>
      <w:tabs>
        <w:tab w:val="clear" w:pos="720"/>
        <w:tab w:val="left" w:pos="204" w:leader="none"/>
      </w:tabs>
      <w:spacing w:lineRule="exact" w:line="362"/>
      <w:outlineLvl w:val="5"/>
    </w:pPr>
    <w:rPr>
      <w:sz w:val="52"/>
    </w:rPr>
  </w:style>
  <w:style w:type="paragraph" w:styleId="Heading7">
    <w:name w:val="heading 7"/>
    <w:basedOn w:val="Normal"/>
    <w:next w:val="Normal"/>
    <w:qFormat/>
    <w:pPr>
      <w:keepNext w:val="true"/>
      <w:numPr>
        <w:ilvl w:val="6"/>
        <w:numId w:val="1"/>
      </w:numPr>
      <w:jc w:val="center"/>
      <w:outlineLvl w:val="6"/>
    </w:pPr>
    <w:rPr>
      <w:b/>
      <w:sz w:val="48"/>
    </w:rPr>
  </w:style>
  <w:style w:type="paragraph" w:styleId="Heading8">
    <w:name w:val="heading 8"/>
    <w:basedOn w:val="Normal"/>
    <w:next w:val="Normal"/>
    <w:qFormat/>
    <w:pPr>
      <w:keepNext w:val="true"/>
      <w:numPr>
        <w:ilvl w:val="7"/>
        <w:numId w:val="1"/>
      </w:numPr>
      <w:outlineLvl w:val="7"/>
    </w:pPr>
    <w:rPr>
      <w:sz w:val="32"/>
    </w:rPr>
  </w:style>
  <w:style w:type="paragraph" w:styleId="Heading9">
    <w:name w:val="heading 9"/>
    <w:basedOn w:val="Normal"/>
    <w:next w:val="Normal"/>
    <w:qFormat/>
    <w:pPr>
      <w:keepNext w:val="true"/>
      <w:numPr>
        <w:ilvl w:val="8"/>
        <w:numId w:val="1"/>
      </w:numPr>
      <w:spacing w:lineRule="auto" w:line="360"/>
      <w:outlineLvl w:val="8"/>
    </w:pPr>
    <w:rPr>
      <w:sz w:val="28"/>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52"/>
    </w:rPr>
  </w:style>
  <w:style w:type="paragraph" w:styleId="BodyText">
    <w:name w:val="Body Text"/>
    <w:basedOn w:val="Normal"/>
    <w:pPr>
      <w:widowControl w:val="false"/>
      <w:tabs>
        <w:tab w:val="clear" w:pos="720"/>
        <w:tab w:val="left" w:pos="204" w:leader="none"/>
      </w:tabs>
      <w:spacing w:lineRule="exact" w:line="362"/>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204" w:leader="none"/>
      </w:tabs>
      <w:spacing w:lineRule="exact" w:line="362"/>
      <w:jc w:val="both"/>
    </w:pPr>
    <w:rPr>
      <w:sz w:val="26"/>
    </w:rPr>
  </w:style>
  <w:style w:type="paragraph" w:styleId="BodyTextIndent2">
    <w:name w:val="Body Text Indent 2"/>
    <w:basedOn w:val="Normal"/>
    <w:qFormat/>
    <w:pPr>
      <w:widowControl w:val="false"/>
      <w:tabs>
        <w:tab w:val="clear" w:pos="720"/>
        <w:tab w:val="left" w:pos="754" w:leader="none"/>
      </w:tabs>
      <w:spacing w:lineRule="exact" w:line="362"/>
      <w:ind w:firstLine="754" w:start="0" w:end="0"/>
    </w:pPr>
    <w:rPr>
      <w:sz w:val="24"/>
    </w:rPr>
  </w:style>
  <w:style w:type="paragraph" w:styleId="BodyTextIndent3">
    <w:name w:val="Body Text Indent 3"/>
    <w:basedOn w:val="Normal"/>
    <w:qFormat/>
    <w:pPr>
      <w:widowControl w:val="false"/>
      <w:tabs>
        <w:tab w:val="clear" w:pos="720"/>
        <w:tab w:val="left" w:pos="2539" w:leader="none"/>
      </w:tabs>
      <w:ind w:hanging="0" w:start="2540" w:end="0"/>
      <w:jc w:val="center"/>
    </w:pPr>
    <w:rPr>
      <w:b/>
      <w:sz w:val="5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3">
    <w:name w:val="Body Text 3"/>
    <w:basedOn w:val="Normal"/>
    <w:qFormat/>
    <w:pPr/>
    <w:rPr>
      <w:b/>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2001-05-22T20:11:00Z</dcterms:created>
  <dc:creator>Helen Ruth Stout</dc:creator>
  <dc:description/>
  <dc:language>en-CA</dc:language>
  <cp:lastModifiedBy>gnemec</cp:lastModifiedBy>
  <cp:lastPrinted>2000-09-19T17:03:00Z</cp:lastPrinted>
  <dcterms:modified xsi:type="dcterms:W3CDTF">2001-05-22T20:36:00Z</dcterms:modified>
  <cp:revision>8</cp:revision>
  <dc:subject/>
  <dc:title>NATURAL GAS STORAGE</dc:title>
</cp:coreProperties>
</file>