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860" w:leader="none"/>
        </w:tabs>
        <w:jc w:val="center"/>
        <w:rPr>
          <w:rFonts w:ascii="Arial" w:hAnsi="Arial" w:cs="Arial"/>
          <w:sz w:val="36"/>
        </w:rPr>
      </w:pPr>
      <w:r>
        <w:drawing>
          <wp:anchor behindDoc="1" distT="0" distB="0" distL="114935" distR="114935" simplePos="0" locked="0" layoutInCell="0" allowOverlap="1" relativeHeight="2">
            <wp:simplePos x="0" y="0"/>
            <wp:positionH relativeFrom="column">
              <wp:posOffset>-365760</wp:posOffset>
            </wp:positionH>
            <wp:positionV relativeFrom="paragraph">
              <wp:posOffset>-640080</wp:posOffset>
            </wp:positionV>
            <wp:extent cx="1501140" cy="502920"/>
            <wp:effectExtent l="0" t="0" r="0" b="0"/>
            <wp:wrapTight wrapText="bothSides">
              <wp:wrapPolygon edited="0">
                <wp:start x="-109" y="0"/>
                <wp:lineTo x="-109" y="21164"/>
                <wp:lineTo x="21600" y="21164"/>
                <wp:lineTo x="21600" y="0"/>
                <wp:lineTo x="-109" y="0"/>
              </wp:wrapPolygon>
            </wp:wrapTight>
            <wp:docPr id="1" name="Avery%20-%20Mediu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ery%20-%20Medium" descr="" title=""/>
                    <pic:cNvPicPr>
                      <a:picLocks noChangeAspect="1" noChangeArrowheads="1"/>
                    </pic:cNvPicPr>
                  </pic:nvPicPr>
                  <pic:blipFill>
                    <a:blip r:embed="rId2"/>
                    <a:srcRect l="-19" t="-57" r="-19" b="-57"/>
                    <a:stretch>
                      <a:fillRect/>
                    </a:stretch>
                  </pic:blipFill>
                  <pic:spPr bwMode="auto">
                    <a:xfrm>
                      <a:off x="0" y="0"/>
                      <a:ext cx="1501140" cy="502920"/>
                    </a:xfrm>
                    <a:prstGeom prst="rect">
                      <a:avLst/>
                    </a:prstGeom>
                    <a:noFill/>
                  </pic:spPr>
                </pic:pic>
              </a:graphicData>
            </a:graphic>
          </wp:anchor>
        </w:drawing>
      </w:r>
      <w:r>
        <w:rPr>
          <w:rFonts w:cs="Arial" w:ascii="Arial" w:hAnsi="Arial"/>
          <w:i/>
          <w:sz w:val="36"/>
        </w:rPr>
        <w:t>Confidentiality Agreement</w:t>
      </w:r>
    </w:p>
    <w:p>
      <w:pPr>
        <w:pStyle w:val="Heading2"/>
        <w:ind w:hanging="0" w:start="0"/>
        <w:rPr>
          <w:rFonts w:ascii="Arial" w:hAnsi="Arial" w:cs="Arial"/>
          <w:sz w:val="36"/>
        </w:rPr>
      </w:pPr>
      <w:r>
        <w:rPr>
          <w:rFonts w:cs="Arial"/>
          <w:sz w:val="36"/>
        </w:rPr>
      </w:r>
    </w:p>
    <w:p>
      <w:pPr>
        <w:pStyle w:val="Normal"/>
        <w:rPr/>
      </w:pPr>
      <w:r>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 xml:space="preserve">THIS </w:t>
      </w:r>
      <w:r>
        <w:rPr>
          <w:rFonts w:cs="Arial" w:ascii="Arial" w:hAnsi="Arial"/>
          <w:b/>
          <w:i/>
        </w:rPr>
        <w:t>Confidentiality Agreement</w:t>
      </w:r>
      <w:r>
        <w:rPr>
          <w:rFonts w:cs="Arial" w:ascii="Arial" w:hAnsi="Arial"/>
        </w:rPr>
        <w:t xml:space="preserve"> is effective as of the 15</w:t>
      </w:r>
      <w:r>
        <w:rPr>
          <w:rFonts w:cs="Arial" w:ascii="Arial" w:hAnsi="Arial"/>
          <w:vertAlign w:val="superscript"/>
        </w:rPr>
        <w:t>th</w:t>
      </w:r>
      <w:r>
        <w:rPr>
          <w:rFonts w:cs="Arial" w:ascii="Arial" w:hAnsi="Arial"/>
        </w:rPr>
        <w:t xml:space="preserve"> day of August 2001.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r>
    </w:p>
    <w:tbl>
      <w:tblPr>
        <w:tblW w:w="9515" w:type="dxa"/>
        <w:jc w:val="start"/>
        <w:tblInd w:w="0" w:type="dxa"/>
        <w:tblLayout w:type="fixed"/>
        <w:tblCellMar>
          <w:top w:w="0" w:type="dxa"/>
          <w:start w:w="108" w:type="dxa"/>
          <w:bottom w:w="0" w:type="dxa"/>
          <w:end w:w="108" w:type="dxa"/>
        </w:tblCellMar>
      </w:tblPr>
      <w:tblGrid>
        <w:gridCol w:w="1818"/>
        <w:gridCol w:w="2700"/>
        <w:gridCol w:w="270"/>
        <w:gridCol w:w="1890"/>
        <w:gridCol w:w="2837"/>
      </w:tblGrid>
      <w:tr>
        <w:trPr/>
        <w:tc>
          <w:tcPr>
            <w:tcW w:w="181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b/>
                <w:i/>
              </w:rPr>
              <w:t>Avery Dennison Corporation</w:t>
            </w:r>
          </w:p>
        </w:tc>
        <w:tc>
          <w:tcPr>
            <w:tcW w:w="270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i/>
                <w:i/>
              </w:rPr>
            </w:pPr>
            <w:r>
              <w:rPr>
                <w:rFonts w:cs="Arial" w:ascii="Arial" w:hAnsi="Arial"/>
                <w:b/>
                <w:i/>
              </w:rPr>
              <w:t>Fasson Roll North America</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i/>
                <w:i/>
              </w:rPr>
            </w:pPr>
            <w:r>
              <w:rPr>
                <w:rFonts w:cs="Arial" w:ascii="Arial" w:hAnsi="Arial"/>
                <w:b/>
                <w:i/>
              </w:rPr>
            </w:r>
          </w:p>
        </w:tc>
        <w:tc>
          <w:tcPr>
            <w:tcW w:w="4727" w:type="dxa"/>
            <w:gridSpan w:val="2"/>
            <w:tcBorders/>
          </w:tcPr>
          <w:p>
            <w:pPr>
              <w:pStyle w:val="Heading3"/>
              <w:ind w:hanging="0" w:start="0"/>
              <w:rPr/>
            </w:pPr>
            <w:r>
              <w:rPr>
                <w:color w:val="000000"/>
              </w:rPr>
              <w:t xml:space="preserve">Enron - legal name and address </w:t>
            </w:r>
            <w:r>
              <w:rPr/>
              <w:t>(please complete)</w:t>
            </w:r>
          </w:p>
        </w:tc>
      </w:tr>
      <w:tr>
        <w:trPr/>
        <w:tc>
          <w:tcPr>
            <w:tcW w:w="181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rPr>
            </w:pPr>
            <w:r>
              <w:rPr>
                <w:rFonts w:cs="Arial" w:ascii="Arial" w:hAnsi="Arial"/>
              </w:rPr>
              <w:t>Address</w:t>
            </w:r>
          </w:p>
        </w:tc>
        <w:tc>
          <w:tcPr>
            <w:tcW w:w="2700" w:type="dxa"/>
            <w:tcBorders>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7590 Auburn Road</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890" w:type="dxa"/>
            <w:tcBorders/>
          </w:tcPr>
          <w:p>
            <w:pPr>
              <w:pStyle w:val="Normal"/>
              <w:widowControl w:val="false"/>
              <w:tabs>
                <w:tab w:val="left" w:pos="-1440" w:leader="none"/>
                <w:tab w:val="left" w:pos="-741"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Arial" w:hAnsi="Arial" w:cs="Arial"/>
              </w:rPr>
            </w:pPr>
            <w:r>
              <w:rPr>
                <w:rFonts w:cs="Arial" w:ascii="Arial" w:hAnsi="Arial"/>
              </w:rPr>
              <w:t>Address</w:t>
            </w:r>
          </w:p>
        </w:tc>
        <w:tc>
          <w:tcPr>
            <w:tcW w:w="2837"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r>
      <w:tr>
        <w:trPr/>
        <w:tc>
          <w:tcPr>
            <w:tcW w:w="181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700" w:type="dxa"/>
            <w:tcBorders>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Painesville, OH 44077</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89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837" w:type="dxa"/>
            <w:tcBorders>
              <w:top w:val="single" w:sz="6" w:space="0" w:color="000000"/>
            </w:tcBorders>
          </w:tcPr>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r>
      <w:tr>
        <w:trPr/>
        <w:tc>
          <w:tcPr>
            <w:tcW w:w="181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700" w:type="dxa"/>
            <w:tcBorders>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U.S.A.</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89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837" w:type="dxa"/>
            <w:tcBorders>
              <w:top w:val="single" w:sz="6" w:space="0" w:color="000000"/>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U.S.A.</w:t>
            </w:r>
          </w:p>
        </w:tc>
      </w:tr>
      <w:tr>
        <w:trPr/>
        <w:tc>
          <w:tcPr>
            <w:tcW w:w="181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700" w:type="dxa"/>
            <w:tcBorders>
              <w:bottom w:val="single" w:sz="6" w:space="0" w:color="000000"/>
            </w:tcBorders>
          </w:tcPr>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w:t>
            </w:r>
            <w:r>
              <w:rPr>
                <w:rFonts w:cs="Arial" w:ascii="Arial" w:hAnsi="Arial"/>
              </w:rPr>
              <w:t>Avery Dennison”</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89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837" w:type="dxa"/>
            <w:tcBorders>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w:t>
            </w:r>
            <w:r>
              <w:rPr>
                <w:rFonts w:cs="Arial" w:ascii="Arial" w:hAnsi="Arial"/>
              </w:rPr>
              <w:t>Enron”</w:t>
            </w:r>
          </w:p>
        </w:tc>
      </w:tr>
    </w:tbl>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r>
    </w:p>
    <w:p>
      <w:pPr>
        <w:pStyle w:val="BodyTextIndent"/>
        <w:rPr/>
      </w:pPr>
      <w:r>
        <w:rPr/>
        <w:t xml:space="preserve">Any notice or other communication pursuant to this Agreement shall be sufficiently made or given on the date of mailing if sent to such party by certified first class mail, postage prepaid, addressed to it at its address above or as it shall designate by written notice given to the other party: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eastAsia="Arial" w:cs="Arial" w:ascii="Arial" w:hAnsi="Arial"/>
        </w:rPr>
        <w:t xml:space="preserve"> </w:t>
      </w:r>
    </w:p>
    <w:p>
      <w:pPr>
        <w:pStyle w:val="Normal"/>
        <w:widowControl w:val="false"/>
        <w:numPr>
          <w:ilvl w:val="0"/>
          <w:numId w:val="4"/>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The </w:t>
      </w:r>
      <w:r>
        <w:rPr>
          <w:rFonts w:cs="Arial" w:ascii="Arial" w:hAnsi="Arial"/>
          <w:i/>
        </w:rPr>
        <w:t>Confidential Information</w:t>
      </w:r>
      <w:r>
        <w:rPr>
          <w:rFonts w:cs="Arial" w:ascii="Arial" w:hAnsi="Arial"/>
        </w:rPr>
        <w:t xml:space="preserve"> disclosed under the terms of this Agreement is limited to:</w:t>
      </w:r>
    </w:p>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tbl>
      <w:tblPr>
        <w:tblW w:w="9000" w:type="dxa"/>
        <w:jc w:val="start"/>
        <w:tblInd w:w="468" w:type="dxa"/>
        <w:tblLayout w:type="fixed"/>
        <w:tblCellMar>
          <w:top w:w="0" w:type="dxa"/>
          <w:start w:w="108" w:type="dxa"/>
          <w:bottom w:w="0" w:type="dxa"/>
          <w:end w:w="108" w:type="dxa"/>
        </w:tblCellMar>
      </w:tblPr>
      <w:tblGrid>
        <w:gridCol w:w="9000"/>
      </w:tblGrid>
      <w:tr>
        <w:trPr/>
        <w:tc>
          <w:tcPr>
            <w:tcW w:w="9000" w:type="dxa"/>
            <w:tcBorders>
              <w:bottom w:val="single" w:sz="6" w:space="0" w:color="000000"/>
            </w:tcBorders>
          </w:tcPr>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information pertaining to Avery Dennison’s raw material purchases, including but not limited to purchase volumes; raw materials names and types; supplier names; cost and price information; intended end-use markets; and business plans and objectives.</w:t>
            </w:r>
          </w:p>
        </w:tc>
      </w:tr>
    </w:tbl>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numPr>
          <w:ilvl w:val="0"/>
          <w:numId w:val="2"/>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The parties appoint the following representatives to disclose and receive </w:t>
      </w:r>
      <w:r>
        <w:rPr>
          <w:rFonts w:cs="Arial" w:ascii="Arial" w:hAnsi="Arial"/>
          <w:i/>
        </w:rPr>
        <w:t>Confidential Information</w:t>
      </w:r>
      <w:r>
        <w:rPr>
          <w:rFonts w:cs="Arial" w:ascii="Arial" w:hAnsi="Arial"/>
        </w:rPr>
        <w:t>:</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tbl>
      <w:tblPr>
        <w:tblW w:w="9000" w:type="dxa"/>
        <w:jc w:val="start"/>
        <w:tblInd w:w="468" w:type="dxa"/>
        <w:tblLayout w:type="fixed"/>
        <w:tblCellMar>
          <w:top w:w="0" w:type="dxa"/>
          <w:start w:w="108" w:type="dxa"/>
          <w:bottom w:w="0" w:type="dxa"/>
          <w:end w:w="108" w:type="dxa"/>
        </w:tblCellMar>
      </w:tblPr>
      <w:tblGrid>
        <w:gridCol w:w="2160"/>
        <w:gridCol w:w="248"/>
        <w:gridCol w:w="1912"/>
        <w:gridCol w:w="270"/>
        <w:gridCol w:w="2101"/>
        <w:gridCol w:w="298"/>
        <w:gridCol w:w="2011"/>
      </w:tblGrid>
      <w:tr>
        <w:trPr/>
        <w:tc>
          <w:tcPr>
            <w:tcW w:w="4320" w:type="dxa"/>
            <w:gridSpan w:val="3"/>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b/>
                <w:i/>
              </w:rPr>
              <w:t>Avery Dennison, FRNA</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4410" w:type="dxa"/>
            <w:gridSpan w:val="3"/>
            <w:tcBorders/>
          </w:tcPr>
          <w:p>
            <w:pPr>
              <w:pStyle w:val="Heading3"/>
              <w:ind w:hanging="0" w:start="0"/>
              <w:rPr>
                <w:color w:val="000000"/>
              </w:rPr>
            </w:pPr>
            <w:r>
              <w:rPr>
                <w:color w:val="000000"/>
              </w:rPr>
              <w:t>Enron</w:t>
            </w:r>
            <w:r>
              <w:rPr/>
              <w:t xml:space="preserve"> (please complete)</w:t>
            </w:r>
          </w:p>
        </w:tc>
      </w:tr>
      <w:tr>
        <w:trPr/>
        <w:tc>
          <w:tcPr>
            <w:tcW w:w="2160" w:type="dxa"/>
            <w:tcBorders/>
          </w:tcPr>
          <w:p>
            <w:pPr>
              <w:pStyle w:val="Normal"/>
              <w:widowControl w:val="false"/>
              <w:tabs>
                <w:tab w:val="left" w:pos="-1440" w:leader="none"/>
                <w:tab w:val="left" w:pos="-72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Patrick J. Aiken</w:t>
            </w:r>
          </w:p>
        </w:tc>
        <w:tc>
          <w:tcPr>
            <w:tcW w:w="24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912"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Matt E. Leskovec</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101"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Ted Behrens</w:t>
            </w:r>
          </w:p>
        </w:tc>
        <w:tc>
          <w:tcPr>
            <w:tcW w:w="29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011"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r>
      <w:tr>
        <w:trPr/>
        <w:tc>
          <w:tcPr>
            <w:tcW w:w="2160" w:type="dxa"/>
            <w:tcBorders>
              <w:top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Walter E. Nobles</w:t>
            </w:r>
          </w:p>
        </w:tc>
        <w:tc>
          <w:tcPr>
            <w:tcW w:w="24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912" w:type="dxa"/>
            <w:tcBorders>
              <w:top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101" w:type="dxa"/>
            <w:tcBorders>
              <w:top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Jim Bryja</w:t>
            </w:r>
          </w:p>
        </w:tc>
        <w:tc>
          <w:tcPr>
            <w:tcW w:w="29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011" w:type="dxa"/>
            <w:tcBorders>
              <w:top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r>
      <w:tr>
        <w:trPr/>
        <w:tc>
          <w:tcPr>
            <w:tcW w:w="2160" w:type="dxa"/>
            <w:tcBorders>
              <w:top w:val="single" w:sz="6" w:space="0" w:color="000000"/>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Igor Cerc</w:t>
            </w:r>
          </w:p>
        </w:tc>
        <w:tc>
          <w:tcPr>
            <w:tcW w:w="24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1912" w:type="dxa"/>
            <w:tcBorders>
              <w:top w:val="single" w:sz="6" w:space="0" w:color="000000"/>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101" w:type="dxa"/>
            <w:tcBorders>
              <w:top w:val="single" w:sz="6" w:space="0" w:color="000000"/>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Chris Croom</w:t>
            </w:r>
          </w:p>
        </w:tc>
        <w:tc>
          <w:tcPr>
            <w:tcW w:w="298"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c>
          <w:tcPr>
            <w:tcW w:w="2011" w:type="dxa"/>
            <w:tcBorders>
              <w:top w:val="single" w:sz="6" w:space="0" w:color="000000"/>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rPr>
            </w:pPr>
            <w:r>
              <w:rPr>
                <w:rFonts w:cs="Arial" w:ascii="Arial" w:hAnsi="Arial"/>
              </w:rPr>
            </w:r>
          </w:p>
        </w:tc>
      </w:tr>
    </w:tbl>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tab/>
        <w:t>In addition to the aforementioned representatives, additional representatives may be appointed when necessary provided that all additionally named representatives are made aware of the terms and conditions outlined in this Agreement.</w:t>
      </w:r>
    </w:p>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3.</w:t>
        <w:tab/>
        <w:t xml:space="preserve">Subject to exceptions stated below, a recipient of </w:t>
      </w:r>
      <w:r>
        <w:rPr>
          <w:rFonts w:cs="Arial" w:ascii="Arial" w:hAnsi="Arial"/>
          <w:i/>
        </w:rPr>
        <w:t>Confidential Information</w:t>
      </w:r>
      <w:r>
        <w:rPr>
          <w:rFonts w:cs="Arial" w:ascii="Arial" w:hAnsi="Arial"/>
        </w:rPr>
        <w:t xml:space="preserve"> may not disclose such information or use the same except for the purpose of this agreement, which is: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tbl>
      <w:tblPr>
        <w:tblW w:w="9000" w:type="dxa"/>
        <w:jc w:val="start"/>
        <w:tblInd w:w="468" w:type="dxa"/>
        <w:tblLayout w:type="fixed"/>
        <w:tblCellMar>
          <w:top w:w="0" w:type="dxa"/>
          <w:start w:w="108" w:type="dxa"/>
          <w:bottom w:w="0" w:type="dxa"/>
          <w:end w:w="108" w:type="dxa"/>
        </w:tblCellMar>
      </w:tblPr>
      <w:tblGrid>
        <w:gridCol w:w="9000"/>
      </w:tblGrid>
      <w:tr>
        <w:trPr/>
        <w:tc>
          <w:tcPr>
            <w:tcW w:w="9000" w:type="dxa"/>
            <w:tcBorders>
              <w:bottom w:val="single" w:sz="6" w:space="0" w:color="000000"/>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to hedge Avery Dennison’s risk associated with the fluctuation in prices of its raw materials and feedstocks used in production of such raw materials by Avery Dennison’s suppliers.  </w:t>
            </w:r>
          </w:p>
        </w:tc>
      </w:tr>
    </w:tbl>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numPr>
          <w:ilvl w:val="0"/>
          <w:numId w:val="7"/>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Recipient of </w:t>
      </w:r>
      <w:r>
        <w:rPr>
          <w:rFonts w:cs="Arial" w:ascii="Arial" w:hAnsi="Arial"/>
          <w:i/>
        </w:rPr>
        <w:t>Confidential Information</w:t>
      </w:r>
      <w:r>
        <w:rPr>
          <w:rFonts w:cs="Arial" w:ascii="Arial" w:hAnsi="Arial"/>
        </w:rPr>
        <w:t xml:space="preserve"> shall be </w:t>
      </w:r>
      <w:r>
        <w:rPr>
          <w:rFonts w:cs="Arial" w:ascii="Arial" w:hAnsi="Arial"/>
          <w:i/>
        </w:rPr>
        <w:t>Enron</w:t>
      </w:r>
      <w:r>
        <w:rPr>
          <w:rFonts w:cs="Arial" w:ascii="Arial" w:hAnsi="Arial"/>
        </w:rPr>
        <w:t xml:space="preserve">.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t>5.</w:t>
        <w:tab/>
        <w:t>All disclosures hereunder shall be completed not later than two (2) years following the Effective Date.</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t>6.</w:t>
        <w:tab/>
        <w:t>All obligations created by this Agreement expire seven (7) years from the Effective Date.</w:t>
      </w:r>
    </w:p>
    <w:p>
      <w:pPr>
        <w:pStyle w:val="Heade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7.</w:t>
        <w:tab/>
      </w:r>
      <w:r>
        <w:rPr>
          <w:rFonts w:cs="Arial" w:ascii="Arial" w:hAnsi="Arial"/>
          <w:i/>
        </w:rPr>
        <w:t>Confidential Information</w:t>
      </w:r>
      <w:r>
        <w:rPr>
          <w:rFonts w:cs="Arial" w:ascii="Arial" w:hAnsi="Arial"/>
        </w:rPr>
        <w:t xml:space="preserve"> may include, by way of example but without limitations, data, know-how, formulae, processes, designs, sketches, photographs, plans, drawings, specifications, samples, reports, customer lists, pricing information, studies, findings, inventions and ideas. To the extent practical, </w:t>
      </w:r>
      <w:r>
        <w:rPr>
          <w:rFonts w:cs="Arial" w:ascii="Arial" w:hAnsi="Arial"/>
          <w:i/>
        </w:rPr>
        <w:t>Confidential Information</w:t>
      </w:r>
      <w:r>
        <w:rPr>
          <w:rFonts w:cs="Arial" w:ascii="Arial" w:hAnsi="Arial"/>
        </w:rPr>
        <w:t xml:space="preserve"> shall be disclosed in documentary or tangible form marked "</w:t>
      </w:r>
      <w:r>
        <w:rPr>
          <w:rFonts w:cs="Arial" w:ascii="Arial" w:hAnsi="Arial"/>
          <w:b/>
        </w:rPr>
        <w:t>Proprietary</w:t>
      </w:r>
      <w:r>
        <w:rPr>
          <w:rFonts w:cs="Arial" w:ascii="Arial" w:hAnsi="Arial"/>
        </w:rPr>
        <w:t>" or "</w:t>
      </w:r>
      <w:r>
        <w:rPr>
          <w:rFonts w:cs="Arial" w:ascii="Arial" w:hAnsi="Arial"/>
          <w:b/>
        </w:rPr>
        <w:t>Confidential</w:t>
      </w:r>
      <w:r>
        <w:rPr>
          <w:rFonts w:cs="Arial" w:ascii="Arial" w:hAnsi="Arial"/>
        </w:rPr>
        <w:t xml:space="preserve">." In the case of disclosures in a non-documentary form made orally or by visual inspection, the </w:t>
      </w:r>
      <w:r>
        <w:rPr>
          <w:rFonts w:cs="Arial" w:ascii="Arial" w:hAnsi="Arial"/>
          <w:i/>
        </w:rPr>
        <w:t>Discloser</w:t>
      </w:r>
      <w:r>
        <w:rPr>
          <w:rFonts w:cs="Arial" w:ascii="Arial" w:hAnsi="Arial"/>
        </w:rPr>
        <w:t xml:space="preserve"> shall have the right, or if requested by the recipient, the obligation to confirm in writing the fact and general nature of each disclosure within a reasonable time after it is made. Each representative designated by the parties for receiving and disclosing </w:t>
      </w:r>
      <w:r>
        <w:rPr>
          <w:rFonts w:cs="Arial" w:ascii="Arial" w:hAnsi="Arial"/>
          <w:i/>
        </w:rPr>
        <w:t>Confidential Information</w:t>
      </w:r>
      <w:r>
        <w:rPr>
          <w:rFonts w:cs="Arial" w:ascii="Arial" w:hAnsi="Arial"/>
        </w:rPr>
        <w:t xml:space="preserve"> shall make all arrangements for his party and be informed of all communications relating to this Agreement. Any change of representative shall be made only upon written notice to the other party to this Agreement. The amount of </w:t>
      </w:r>
      <w:r>
        <w:rPr>
          <w:rFonts w:cs="Arial" w:ascii="Arial" w:hAnsi="Arial"/>
          <w:i/>
        </w:rPr>
        <w:t>Confidential Information</w:t>
      </w:r>
      <w:r>
        <w:rPr>
          <w:rFonts w:cs="Arial" w:ascii="Arial" w:hAnsi="Arial"/>
        </w:rPr>
        <w:t xml:space="preserve"> to be disclosed is completely within the discretion of the </w:t>
      </w:r>
      <w:r>
        <w:rPr>
          <w:rFonts w:cs="Arial" w:ascii="Arial" w:hAnsi="Arial"/>
          <w:i/>
        </w:rPr>
        <w:t>Discloser</w:t>
      </w:r>
      <w:r>
        <w:rPr>
          <w:rFonts w:cs="Arial" w:ascii="Arial" w:hAnsi="Arial"/>
        </w:rPr>
        <w:t xml:space="preserve">. The recipient of </w:t>
      </w:r>
      <w:r>
        <w:rPr>
          <w:rFonts w:cs="Arial" w:ascii="Arial" w:hAnsi="Arial"/>
          <w:i/>
        </w:rPr>
        <w:t>Confidential Information</w:t>
      </w:r>
      <w:r>
        <w:rPr>
          <w:rFonts w:cs="Arial" w:ascii="Arial" w:hAnsi="Arial"/>
        </w:rPr>
        <w:t xml:space="preserve"> shall exercise reasonable care to prevent its disclosure to any third party, and shall limit internal dissemination of </w:t>
      </w:r>
      <w:r>
        <w:rPr>
          <w:rFonts w:cs="Arial" w:ascii="Arial" w:hAnsi="Arial"/>
          <w:i/>
        </w:rPr>
        <w:t>Confidential Information</w:t>
      </w:r>
      <w:r>
        <w:rPr>
          <w:rFonts w:cs="Arial" w:ascii="Arial" w:hAnsi="Arial"/>
        </w:rPr>
        <w:t xml:space="preserve"> within its own organization to individuals whose duties justify the need to know such information, and then only provided that there is a clear understanding by such individuals of their obligation to maintain the trade secret status of such information and to restrict its use solely to the purpose specified herein. No other right or license to use </w:t>
      </w:r>
      <w:r>
        <w:rPr>
          <w:rFonts w:cs="Arial" w:ascii="Arial" w:hAnsi="Arial"/>
          <w:i/>
        </w:rPr>
        <w:t>Confidential Information</w:t>
      </w:r>
      <w:r>
        <w:rPr>
          <w:rFonts w:cs="Arial" w:ascii="Arial" w:hAnsi="Arial"/>
        </w:rPr>
        <w:t xml:space="preserve"> is granted hereby.</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vanish/>
        </w:rPr>
      </w:pPr>
      <w:r>
        <w:rPr>
          <w:rFonts w:cs="Arial" w:ascii="Arial" w:hAnsi="Arial"/>
          <w:vanish/>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8.</w:t>
        <w:tab/>
      </w:r>
      <w:r>
        <w:rPr>
          <w:rFonts w:cs="Arial" w:ascii="Arial" w:hAnsi="Arial"/>
          <w:u w:val="single"/>
        </w:rPr>
        <w:t>Exceptions:</w:t>
      </w:r>
      <w:r>
        <w:rPr>
          <w:rFonts w:cs="Arial" w:ascii="Arial" w:hAnsi="Arial"/>
        </w:rPr>
        <w:t xml:space="preserve">  The recipient of </w:t>
      </w:r>
      <w:r>
        <w:rPr>
          <w:rFonts w:cs="Arial" w:ascii="Arial" w:hAnsi="Arial"/>
          <w:i/>
        </w:rPr>
        <w:t>Confidential Information</w:t>
      </w:r>
      <w:r>
        <w:rPr>
          <w:rFonts w:cs="Arial" w:ascii="Arial" w:hAnsi="Arial"/>
        </w:rPr>
        <w:t xml:space="preserve"> shall be under no obligation with respect to any information: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rFonts w:ascii="Arial" w:hAnsi="Arial" w:cs="Arial"/>
        </w:rPr>
      </w:pPr>
      <w:r>
        <w:rPr>
          <w:rFonts w:cs="Arial" w:ascii="Arial" w:hAnsi="Arial"/>
        </w:rPr>
        <w:t xml:space="preserve">(a) </w:t>
        <w:tab/>
        <w:t xml:space="preserve">which is, at the time of disclosure, available to the general public; or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rFonts w:ascii="Arial" w:hAnsi="Arial" w:cs="Arial"/>
        </w:rPr>
      </w:pPr>
      <w:r>
        <w:rPr>
          <w:rFonts w:cs="Arial" w:ascii="Arial" w:hAnsi="Arial"/>
        </w:rPr>
        <w:t>(b)</w:t>
        <w:tab/>
        <w:t xml:space="preserve">which becomes at a later date available to the general public through no fault of the recipient and then only after said later date; or </w:t>
      </w:r>
    </w:p>
    <w:p>
      <w:pPr>
        <w:pStyle w:val="Normal"/>
        <w:widowControl w:val="false"/>
        <w:numPr>
          <w:ilvl w:val="0"/>
          <w:numId w:val="5"/>
        </w:numPr>
        <w:tabs>
          <w:tab w:val="left" w:pos="-1440" w:leader="none"/>
          <w:tab w:val="left" w:pos="-720" w:leader="none"/>
          <w:tab w:val="left" w:pos="0" w:leader="none"/>
          <w:tab w:val="left" w:pos="36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which recipient can demonstrate was in its possession before receipt; or </w:t>
      </w:r>
    </w:p>
    <w:p>
      <w:pPr>
        <w:pStyle w:val="Normal"/>
        <w:widowControl w:val="false"/>
        <w:numPr>
          <w:ilvl w:val="0"/>
          <w:numId w:val="5"/>
        </w:numPr>
        <w:tabs>
          <w:tab w:val="left" w:pos="-1440" w:leader="none"/>
          <w:tab w:val="left" w:pos="-720" w:leader="none"/>
          <w:tab w:val="left" w:pos="0" w:leader="none"/>
          <w:tab w:val="left" w:pos="36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which recipient can demonstrate was independently developed; or</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rFonts w:ascii="Arial" w:hAnsi="Arial" w:cs="Arial"/>
          <w:i/>
          <w:i/>
        </w:rPr>
      </w:pPr>
      <w:r>
        <w:rPr>
          <w:rFonts w:cs="Arial" w:ascii="Arial" w:hAnsi="Arial"/>
        </w:rPr>
        <w:t>(e)</w:t>
        <w:tab/>
        <w:t xml:space="preserve">which is disclosed to recipient without restriction on disclosure by a third party who has the lawful right to disclose such information.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i/>
          <w:i/>
        </w:rPr>
      </w:pPr>
      <w:r>
        <w:rPr>
          <w:rFonts w:cs="Arial" w:ascii="Arial" w:hAnsi="Arial"/>
          <w:i/>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rPr/>
      </w:pPr>
      <w:r>
        <w:rPr>
          <w:rFonts w:cs="Arial" w:ascii="Arial" w:hAnsi="Arial"/>
          <w:i/>
        </w:rPr>
        <w:t>Confidential Information</w:t>
      </w:r>
      <w:r>
        <w:rPr>
          <w:rFonts w:cs="Arial" w:ascii="Arial" w:hAnsi="Arial"/>
        </w:rPr>
        <w:t xml:space="preserve"> shall not be deemed within the foregoing exceptions if it is:</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rFonts w:ascii="Arial" w:hAnsi="Arial" w:cs="Arial"/>
        </w:rPr>
      </w:pPr>
      <w:r>
        <w:rPr>
          <w:rFonts w:cs="Arial" w:ascii="Arial" w:hAnsi="Arial"/>
        </w:rPr>
        <w:t>(a)</w:t>
        <w:tab/>
        <w:t xml:space="preserve">specific and merely embraced by more general information in the public domain or recipient's possession; or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rFonts w:cs="Arial" w:ascii="Arial" w:hAnsi="Arial"/>
        </w:rPr>
        <w:t>(b)</w:t>
        <w:tab/>
        <w:t xml:space="preserve">a combination which can be placed together to reconstruct the </w:t>
      </w:r>
      <w:r>
        <w:rPr>
          <w:rFonts w:cs="Arial" w:ascii="Arial" w:hAnsi="Arial"/>
          <w:i/>
        </w:rPr>
        <w:t>Confidential Information</w:t>
      </w:r>
      <w:r>
        <w:rPr>
          <w:rFonts w:cs="Arial" w:ascii="Arial" w:hAnsi="Arial"/>
        </w:rPr>
        <w:t xml:space="preserve"> from multiple sources, none of which shows the whole combination, its principle of operations and method of use.</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9.</w:t>
        <w:tab/>
        <w:t xml:space="preserve">The following additional terms are part of this agreement: With respect to any Sample supplied to a </w:t>
      </w:r>
      <w:r>
        <w:rPr>
          <w:rFonts w:cs="Arial" w:ascii="Arial" w:hAnsi="Arial"/>
          <w:i/>
        </w:rPr>
        <w:t>Recipient</w:t>
      </w:r>
      <w:r>
        <w:rPr>
          <w:rFonts w:cs="Arial" w:ascii="Arial" w:hAnsi="Arial"/>
        </w:rPr>
        <w:t xml:space="preserve">, by a </w:t>
      </w:r>
      <w:r>
        <w:rPr>
          <w:rFonts w:cs="Arial" w:ascii="Arial" w:hAnsi="Arial"/>
          <w:i/>
        </w:rPr>
        <w:t>Provider</w:t>
      </w:r>
      <w:r>
        <w:rPr>
          <w:rFonts w:cs="Arial" w:ascii="Arial" w:hAnsi="Arial"/>
        </w:rPr>
        <w:t xml:space="preserve"> under this Agreement.  </w:t>
      </w:r>
      <w:r>
        <w:rPr>
          <w:rFonts w:cs="Arial" w:ascii="Arial" w:hAnsi="Arial"/>
          <w:i/>
        </w:rPr>
        <w:t>Recipient</w:t>
      </w:r>
      <w:r>
        <w:rPr>
          <w:rFonts w:cs="Arial" w:ascii="Arial" w:hAnsi="Arial"/>
        </w:rPr>
        <w:t xml:space="preserve"> agrees:</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rFonts w:ascii="Arial" w:hAnsi="Arial" w:cs="Arial"/>
        </w:rPr>
      </w:pPr>
      <w:r>
        <w:rPr>
          <w:rFonts w:cs="Arial" w:ascii="Arial" w:hAnsi="Arial"/>
        </w:rPr>
        <w:t>(1)</w:t>
        <w:tab/>
        <w:t xml:space="preserve">to maintain secure possession of sample;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rFonts w:cs="Arial" w:ascii="Arial" w:hAnsi="Arial"/>
        </w:rPr>
        <w:t>(2)</w:t>
        <w:tab/>
        <w:t xml:space="preserve">not to provide the sample or any portion thereof to a third party without the prior written consent of </w:t>
      </w:r>
      <w:r>
        <w:rPr>
          <w:rFonts w:cs="Arial" w:ascii="Arial" w:hAnsi="Arial"/>
          <w:i/>
        </w:rPr>
        <w:t>Provider</w:t>
      </w:r>
      <w:r>
        <w:rPr>
          <w:rFonts w:cs="Arial" w:ascii="Arial" w:hAnsi="Arial"/>
        </w:rPr>
        <w:t xml:space="preserve">;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rFonts w:cs="Arial" w:ascii="Arial" w:hAnsi="Arial"/>
        </w:rPr>
        <w:t>(3)</w:t>
        <w:tab/>
        <w:t xml:space="preserve">to return or destroy, as requested by the </w:t>
      </w:r>
      <w:r>
        <w:rPr>
          <w:rFonts w:cs="Arial" w:ascii="Arial" w:hAnsi="Arial"/>
          <w:i/>
        </w:rPr>
        <w:t>Provider,</w:t>
      </w:r>
      <w:r>
        <w:rPr>
          <w:rFonts w:cs="Arial" w:ascii="Arial" w:hAnsi="Arial"/>
        </w:rPr>
        <w:t xml:space="preserve"> any unused or left-over quantity of sample; </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rFonts w:cs="Arial" w:ascii="Arial" w:hAnsi="Arial"/>
        </w:rPr>
        <w:t>(4)</w:t>
        <w:tab/>
        <w:t xml:space="preserve">not to disclose to any third party, without the prior written consent of </w:t>
      </w:r>
      <w:r>
        <w:rPr>
          <w:rFonts w:cs="Arial" w:ascii="Arial" w:hAnsi="Arial"/>
          <w:i/>
        </w:rPr>
        <w:t>Provider</w:t>
      </w:r>
      <w:r>
        <w:rPr>
          <w:rFonts w:cs="Arial" w:ascii="Arial" w:hAnsi="Arial"/>
        </w:rPr>
        <w:t xml:space="preserve">, that </w:t>
      </w:r>
      <w:r>
        <w:rPr>
          <w:rFonts w:cs="Arial" w:ascii="Arial" w:hAnsi="Arial"/>
          <w:i/>
        </w:rPr>
        <w:t>Provider</w:t>
      </w:r>
      <w:r>
        <w:rPr>
          <w:rFonts w:cs="Arial" w:ascii="Arial" w:hAnsi="Arial"/>
        </w:rPr>
        <w:t xml:space="preserve">  has provided any such sample to </w:t>
      </w:r>
      <w:r>
        <w:rPr>
          <w:rFonts w:cs="Arial" w:ascii="Arial" w:hAnsi="Arial"/>
          <w:i/>
        </w:rPr>
        <w:t>Recipient</w:t>
      </w:r>
      <w:r>
        <w:rPr>
          <w:rFonts w:cs="Arial" w:ascii="Arial" w:hAnsi="Arial"/>
        </w:rPr>
        <w:t xml:space="preserve">; and </w:t>
      </w:r>
    </w:p>
    <w:p>
      <w:pPr>
        <w:pStyle w:val="Normal"/>
        <w:widowControl w:val="false"/>
        <w:numPr>
          <w:ilvl w:val="0"/>
          <w:numId w:val="3"/>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not to analyze or attempt in any manner to determine the chemical composition of any sample furnished by </w:t>
      </w:r>
      <w:r>
        <w:rPr>
          <w:rFonts w:cs="Arial" w:ascii="Arial" w:hAnsi="Arial"/>
          <w:i/>
        </w:rPr>
        <w:t>Provider</w:t>
      </w:r>
      <w:r>
        <w:rPr>
          <w:rFonts w:cs="Arial" w:ascii="Arial" w:hAnsi="Arial"/>
        </w:rPr>
        <w:t>.</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Arial" w:hAnsi="Arial" w:cs="Arial"/>
        </w:rPr>
      </w:pPr>
      <w:r>
        <w:rPr>
          <w:rFonts w:cs="Arial" w:ascii="Arial" w:hAnsi="Arial"/>
        </w:rPr>
        <w:t>10.</w:t>
        <w:tab/>
        <w:t>This Agreement shall be construed and enforced according to the laws of Ohio without resort to any Interstate conflict provisions.</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numPr>
          <w:ilvl w:val="0"/>
          <w:numId w:val="6"/>
        </w:numPr>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Nothing in this Agreement shall be construed as granting or implying any right under any Letters Patent or to use any invention covered thereby.</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numPr>
          <w:ilvl w:val="0"/>
          <w:numId w:val="6"/>
        </w:numPr>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 xml:space="preserve">Neither </w:t>
      </w:r>
      <w:r>
        <w:rPr>
          <w:rFonts w:cs="Arial" w:ascii="Arial" w:hAnsi="Arial"/>
          <w:i/>
        </w:rPr>
        <w:t>Avery Dennison</w:t>
      </w:r>
      <w:r>
        <w:rPr>
          <w:rFonts w:cs="Arial" w:ascii="Arial" w:hAnsi="Arial"/>
        </w:rPr>
        <w:t xml:space="preserve"> nor </w:t>
      </w:r>
      <w:r>
        <w:rPr>
          <w:rFonts w:cs="Arial" w:ascii="Arial" w:hAnsi="Arial"/>
          <w:i/>
        </w:rPr>
        <w:t>Enron</w:t>
      </w:r>
      <w:r>
        <w:rPr>
          <w:rFonts w:cs="Arial" w:ascii="Arial" w:hAnsi="Arial"/>
        </w:rPr>
        <w:t xml:space="preserve"> shall make any public announcement concerning this Agreement, its terms or conditions, or the transactions contemplated hereby without the prior review and consent of the other party. </w:t>
      </w:r>
    </w:p>
    <w:p>
      <w:pPr>
        <w:pStyle w:val="Normal"/>
        <w:widowControl w:val="false"/>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numPr>
          <w:ilvl w:val="0"/>
          <w:numId w:val="6"/>
        </w:numPr>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t>In the event that any one or more of the provisions of this Agreement shall contravene or be invalid under the laws of the particular jurisdiction where enforcement of such provision shall be sought, such contravention or invalidity shall not invalidate this Agreement, but this Agreement shall be construed as if the particular provision contravening, or invalidated by, such law had been omitted from this Agreement.</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Arial" w:ascii="Arial" w:hAnsi="Arial"/>
        </w:rPr>
        <w:t>14.</w:t>
        <w:tab/>
        <w:t xml:space="preserve">By the signatures below of representatives authorized to commit the parties to this Agreement, both parties agree to all the above terms and conditions. Please execute two originals.  Send one to </w:t>
      </w:r>
      <w:r>
        <w:rPr>
          <w:rFonts w:cs="Arial" w:ascii="Arial" w:hAnsi="Arial"/>
          <w:i/>
        </w:rPr>
        <w:t xml:space="preserve">Avery Dennison </w:t>
      </w:r>
      <w:r>
        <w:rPr>
          <w:rFonts w:cs="Arial" w:ascii="Arial" w:hAnsi="Arial"/>
        </w:rPr>
        <w:t xml:space="preserve">and one to </w:t>
      </w:r>
      <w:r>
        <w:rPr>
          <w:rFonts w:cs="Arial" w:ascii="Arial" w:hAnsi="Arial"/>
          <w:i/>
        </w:rPr>
        <w:t>Enron</w:t>
      </w:r>
      <w:r>
        <w:rPr>
          <w:rFonts w:cs="Arial" w:ascii="Arial" w:hAnsi="Arial"/>
        </w:rPr>
        <w:t>.</w:t>
      </w:r>
    </w:p>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tbl>
      <w:tblPr>
        <w:tblW w:w="9918" w:type="dxa"/>
        <w:jc w:val="start"/>
        <w:tblInd w:w="0" w:type="dxa"/>
        <w:tblLayout w:type="fixed"/>
        <w:tblCellMar>
          <w:top w:w="0" w:type="dxa"/>
          <w:start w:w="108" w:type="dxa"/>
          <w:bottom w:w="0" w:type="dxa"/>
          <w:end w:w="108" w:type="dxa"/>
        </w:tblCellMar>
      </w:tblPr>
      <w:tblGrid>
        <w:gridCol w:w="1458"/>
        <w:gridCol w:w="3150"/>
        <w:gridCol w:w="270"/>
        <w:gridCol w:w="1890"/>
        <w:gridCol w:w="3150"/>
      </w:tblGrid>
      <w:tr>
        <w:trPr/>
        <w:tc>
          <w:tcPr>
            <w:tcW w:w="1458" w:type="dxa"/>
            <w:tcBorders/>
          </w:tcPr>
          <w:p>
            <w:pPr>
              <w:pStyle w:val="Heading1"/>
              <w:ind w:hanging="0" w:start="0"/>
              <w:rPr/>
            </w:pPr>
            <w:r>
              <w:rPr/>
              <w:t>FRNA</w:t>
            </w:r>
          </w:p>
        </w:tc>
        <w:tc>
          <w:tcPr>
            <w:tcW w:w="315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i/>
                <w:i/>
              </w:rPr>
            </w:pPr>
            <w:r>
              <w:rPr>
                <w:rFonts w:cs="Arial" w:ascii="Arial" w:hAnsi="Arial"/>
                <w:b/>
                <w:i/>
              </w:rPr>
              <w:t>Avery Dennison Corporation</w:t>
            </w:r>
          </w:p>
        </w:tc>
        <w:tc>
          <w:tcPr>
            <w:tcW w:w="27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
                <w:i/>
                <w:i/>
              </w:rPr>
            </w:pPr>
            <w:r>
              <w:rPr>
                <w:rFonts w:cs="Arial" w:ascii="Arial" w:hAnsi="Arial"/>
                <w:b/>
                <w:i/>
              </w:rPr>
            </w:r>
          </w:p>
        </w:tc>
        <w:tc>
          <w:tcPr>
            <w:tcW w:w="189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i/>
                <w:i/>
              </w:rPr>
            </w:pPr>
            <w:r>
              <w:rPr>
                <w:rFonts w:cs="Arial" w:ascii="Arial" w:hAnsi="Arial"/>
                <w:b/>
                <w:i/>
              </w:rPr>
              <w:t>Enron</w:t>
            </w:r>
          </w:p>
        </w:tc>
        <w:tc>
          <w:tcPr>
            <w:tcW w:w="3150" w:type="dxa"/>
            <w:tcBorders/>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color w:val="FF0000"/>
              </w:rPr>
            </w:pPr>
            <w:r>
              <w:rPr>
                <w:color w:val="FF0000"/>
              </w:rPr>
              <w:t>(please complete)</w:t>
            </w:r>
          </w:p>
        </w:tc>
      </w:tr>
      <w:tr>
        <w:trPr/>
        <w:tc>
          <w:tcPr>
            <w:tcW w:w="1458"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By</w:t>
            </w:r>
          </w:p>
        </w:tc>
        <w:tc>
          <w:tcPr>
            <w:tcW w:w="3150" w:type="dxa"/>
            <w:tcBorders>
              <w:bottom w:val="single" w:sz="6" w:space="0" w:color="000000"/>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27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1890" w:type="dxa"/>
            <w:tcBorders/>
            <w:vAlign w:val="center"/>
          </w:tcPr>
          <w:p>
            <w:pPr>
              <w:pStyle w:val="Normal"/>
              <w:widowControl w:val="false"/>
              <w:tabs>
                <w:tab w:val="left" w:pos="-1440" w:leader="none"/>
                <w:tab w:val="left" w:pos="-741"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By</w:t>
            </w:r>
          </w:p>
        </w:tc>
        <w:tc>
          <w:tcPr>
            <w:tcW w:w="315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r>
      <w:tr>
        <w:trPr/>
        <w:tc>
          <w:tcPr>
            <w:tcW w:w="1458"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Title</w:t>
            </w:r>
          </w:p>
        </w:tc>
        <w:tc>
          <w:tcPr>
            <w:tcW w:w="3150" w:type="dxa"/>
            <w:tcBorders>
              <w:bottom w:val="single" w:sz="6" w:space="0" w:color="000000"/>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27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189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Title</w:t>
            </w:r>
          </w:p>
        </w:tc>
        <w:tc>
          <w:tcPr>
            <w:tcW w:w="3150" w:type="dxa"/>
            <w:tcBorders>
              <w:top w:val="single" w:sz="6" w:space="0" w:color="000000"/>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r>
      <w:tr>
        <w:trPr/>
        <w:tc>
          <w:tcPr>
            <w:tcW w:w="1458"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Date</w:t>
            </w:r>
          </w:p>
        </w:tc>
        <w:tc>
          <w:tcPr>
            <w:tcW w:w="3150" w:type="dxa"/>
            <w:tcBorders>
              <w:bottom w:val="single" w:sz="6" w:space="0" w:color="000000"/>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27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c>
          <w:tcPr>
            <w:tcW w:w="1890" w:type="dxa"/>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end"/>
              <w:rPr>
                <w:rFonts w:ascii="Arial" w:hAnsi="Arial" w:cs="Arial"/>
              </w:rPr>
            </w:pPr>
            <w:r>
              <w:rPr>
                <w:rFonts w:cs="Arial" w:ascii="Arial" w:hAnsi="Arial"/>
              </w:rPr>
              <w:t>Date</w:t>
            </w:r>
          </w:p>
        </w:tc>
        <w:tc>
          <w:tcPr>
            <w:tcW w:w="3150" w:type="dxa"/>
            <w:tcBorders>
              <w:top w:val="single" w:sz="6" w:space="0" w:color="000000"/>
              <w:bottom w:val="single" w:sz="6" w:space="0" w:color="000000"/>
            </w:tcBorders>
            <w:vAlign w:val="center"/>
          </w:tcPr>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480"/>
              <w:rPr>
                <w:rFonts w:ascii="Arial" w:hAnsi="Arial" w:cs="Arial"/>
              </w:rPr>
            </w:pPr>
            <w:r>
              <w:rPr>
                <w:rFonts w:cs="Arial" w:ascii="Arial" w:hAnsi="Arial"/>
              </w:rPr>
            </w:r>
          </w:p>
        </w:tc>
      </w:tr>
    </w:tbl>
    <w:p>
      <w:pPr>
        <w:pStyle w:val="Normal"/>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sectPr>
      <w:headerReference w:type="default" r:id="rId3"/>
      <w:headerReference w:type="first" r:id="rId4"/>
      <w:footerReference w:type="default" r:id="rId5"/>
      <w:footerReference w:type="first" r:id="rId6"/>
      <w:type w:val="nextPage"/>
      <w:pgSz w:w="12240" w:h="15840"/>
      <w:pgMar w:left="1440" w:right="1440" w:gutter="0" w:header="1080" w:top="187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Arial" w:ascii="Arial" w:hAnsi="Arial"/>
      </w:rPr>
      <w:t xml:space="preserve">Page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 xml:space="preserve"> of </w:t>
    </w:r>
    <w:r>
      <w:rPr>
        <w:rFonts w:cs="Arial" w:ascii="Arial" w:hAnsi="Arial"/>
      </w:rPr>
      <w:fldChar w:fldCharType="begin"/>
    </w:r>
    <w:r>
      <w:rPr>
        <w:rFonts w:cs="Arial" w:ascii="Arial" w:hAnsi="Arial"/>
      </w:rPr>
      <w:instrText xml:space="preserve"> NUMPAGES \* ARABIC </w:instrText>
    </w:r>
    <w:r>
      <w:rPr>
        <w:rFonts w:cs="Arial" w:ascii="Arial" w:hAnsi="Arial"/>
      </w:rPr>
      <w:fldChar w:fldCharType="separate"/>
    </w:r>
    <w:r>
      <w:rPr>
        <w:rFonts w:cs="Arial" w:ascii="Arial" w:hAnsi="Arial"/>
      </w:rPr>
      <w:t>3</w:t>
    </w:r>
    <w:r>
      <w:rP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720" w:leader="none"/>
      </w:tabs>
      <w:rPr/>
    </w:pPr>
    <w:r>
      <w:rPr/>
      <w:tab/>
      <w:tab/>
    </w:r>
    <w:r>
      <w:rPr>
        <w:rFonts w:cs="Arial" w:ascii="Arial" w:hAnsi="Arial"/>
        <w:i/>
      </w:rPr>
      <w:t>Avery Dennison Confidentiality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360" w:hanging="360"/>
      </w:pPr>
      <w:rPr>
        <w:sz w:val="20"/>
        <w:i w:val="false"/>
        <w:u w:val="none"/>
        <w:b w:val="false"/>
        <w:rFonts w:ascii="Arial" w:hAnsi="Arial" w:cs="Arial"/>
      </w:rPr>
    </w:lvl>
  </w:abstractNum>
  <w:abstractNum w:abstractNumId="3">
    <w:lvl w:ilvl="0">
      <w:start w:val="5"/>
      <w:numFmt w:val="decimal"/>
      <w:lvlText w:val="(%1) "/>
      <w:lvlJc w:val="start"/>
      <w:pPr>
        <w:tabs>
          <w:tab w:val="num" w:pos="360"/>
        </w:tabs>
        <w:ind w:start="1080" w:hanging="360"/>
      </w:pPr>
      <w:rPr>
        <w:sz w:val="20"/>
        <w:i w:val="false"/>
        <w:u w:val="none"/>
        <w:b w:val="false"/>
        <w:rFonts w:ascii="Arial" w:hAnsi="Arial" w:cs="Arial"/>
      </w:rPr>
    </w:lvl>
  </w:abstractNum>
  <w:abstractNum w:abstractNumId="4">
    <w:lvl w:ilvl="0">
      <w:start w:val="1"/>
      <w:numFmt w:val="decimal"/>
      <w:lvlText w:val="%1. "/>
      <w:lvlJc w:val="start"/>
      <w:pPr>
        <w:tabs>
          <w:tab w:val="num" w:pos="360"/>
        </w:tabs>
        <w:ind w:start="360" w:hanging="360"/>
      </w:pPr>
      <w:rPr>
        <w:sz w:val="20"/>
        <w:i w:val="false"/>
        <w:u w:val="none"/>
        <w:b w:val="false"/>
        <w:rFonts w:ascii="Arial" w:hAnsi="Arial" w:cs="Arial"/>
      </w:rPr>
    </w:lvl>
  </w:abstractNum>
  <w:abstractNum w:abstractNumId="5">
    <w:lvl w:ilvl="0">
      <w:start w:val="3"/>
      <w:numFmt w:val="lowerLetter"/>
      <w:lvlText w:val="(%1)"/>
      <w:lvlJc w:val="start"/>
      <w:pPr>
        <w:tabs>
          <w:tab w:val="num" w:pos="1080"/>
        </w:tabs>
        <w:ind w:start="1080" w:hanging="360"/>
      </w:pPr>
      <w:rPr/>
    </w:lvl>
  </w:abstractNum>
  <w:abstractNum w:abstractNumId="6">
    <w:lvl w:ilvl="0">
      <w:start w:val="11"/>
      <w:numFmt w:val="decimal"/>
      <w:lvlText w:val="%1."/>
      <w:lvlJc w:val="start"/>
      <w:pPr>
        <w:tabs>
          <w:tab w:val="num" w:pos="360"/>
        </w:tabs>
        <w:ind w:start="360" w:hanging="360"/>
      </w:pPr>
      <w:rPr/>
    </w:lvl>
  </w:abstractNum>
  <w:abstractNum w:abstractNumId="7">
    <w:lvl w:ilvl="0">
      <w:start w:val="4"/>
      <w:numFmt w:val="decimal"/>
      <w:lvlText w:val="%1. "/>
      <w:lvlJc w:val="start"/>
      <w:pPr>
        <w:tabs>
          <w:tab w:val="num" w:pos="360"/>
        </w:tabs>
        <w:ind w:start="360" w:hanging="360"/>
      </w:pPr>
      <w:rPr>
        <w:sz w:val="20"/>
        <w:i w:val="false"/>
        <w:u w:val="non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pPr>
    <w:rPr>
      <w:rFonts w:ascii="Arial" w:hAnsi="Arial" w:cs="Arial"/>
      <w:b/>
      <w:i/>
    </w:rPr>
  </w:style>
  <w:style w:type="paragraph" w:styleId="Heading2">
    <w:name w:val="heading 2"/>
    <w:basedOn w:val="Normal"/>
    <w:next w:val="Normal"/>
    <w:qFormat/>
    <w:pPr>
      <w:keepNext w:val="true"/>
      <w:widowControl w:val="false"/>
      <w:numPr>
        <w:ilvl w:val="1"/>
        <w:numId w:val="1"/>
      </w:numPr>
      <w:outlineLvl w:val="1"/>
    </w:pPr>
    <w:rPr>
      <w:rFonts w:ascii="Arial" w:hAnsi="Arial" w:cs="Arial"/>
      <w:b/>
    </w:rPr>
  </w:style>
  <w:style w:type="paragraph" w:styleId="Heading3">
    <w:name w:val="heading 3"/>
    <w:basedOn w:val="Normal"/>
    <w:next w:val="Normal"/>
    <w:qFormat/>
    <w:pPr>
      <w:keepNext w:val="true"/>
      <w:widowControl w:val="false"/>
      <w:numPr>
        <w:ilvl w:val="2"/>
        <w:numId w:val="1"/>
      </w:numPr>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2"/>
    </w:pPr>
    <w:rPr>
      <w:rFonts w:ascii="Arial" w:hAnsi="Arial" w:cs="Arial"/>
      <w:b/>
      <w:i/>
      <w:color w:val="FF0000"/>
    </w:rPr>
  </w:style>
  <w:style w:type="character" w:styleId="WW8Num1z0">
    <w:name w:val="WW8Num1z0"/>
    <w:qFormat/>
    <w:rPr>
      <w:rFonts w:ascii="Arial" w:hAnsi="Arial" w:cs="Arial"/>
      <w:b w:val="false"/>
      <w:i w:val="false"/>
      <w:sz w:val="20"/>
      <w:u w:val="none"/>
    </w:rPr>
  </w:style>
  <w:style w:type="character" w:styleId="WW8Num2z0">
    <w:name w:val="WW8Num2z0"/>
    <w:qFormat/>
    <w:rPr>
      <w:rFonts w:ascii="Arial" w:hAnsi="Arial" w:cs="Arial"/>
      <w:b w:val="false"/>
      <w:i w:val="false"/>
      <w:sz w:val="20"/>
      <w:u w:val="none"/>
    </w:rPr>
  </w:style>
  <w:style w:type="character" w:styleId="WW8Num3z0">
    <w:name w:val="WW8Num3z0"/>
    <w:qFormat/>
    <w:rPr>
      <w:rFonts w:ascii="Arial" w:hAnsi="Arial" w:cs="Arial"/>
      <w:b w:val="false"/>
      <w:i w:val="false"/>
      <w:sz w:val="20"/>
      <w:u w:val="none"/>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left" w:pos="-1440" w:leader="none"/>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2001-08-14T11:52:00Z</dcterms:created>
  <dc:creator>EW/LN/CB</dc:creator>
  <dc:description/>
  <cp:keywords>Ethan</cp:keywords>
  <dc:language>en-CA</dc:language>
  <cp:lastModifiedBy>ccroom</cp:lastModifiedBy>
  <cp:lastPrinted>2001-08-14T09:14:00Z</cp:lastPrinted>
  <dcterms:modified xsi:type="dcterms:W3CDTF">2001-08-14T11:52:00Z</dcterms:modified>
  <cp:revision>2</cp:revision>
  <dc:subject/>
  <dc:title>Ethan Frome</dc:title>
</cp:coreProperties>
</file>