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b/>
          <w:i/>
          <w:i/>
          <w:u w:val="none"/>
        </w:rPr>
      </w:pPr>
      <w:r>
        <w:rPr>
          <w:b/>
          <w:i/>
          <w:u w:val="none"/>
        </w:rPr>
      </w:r>
    </w:p>
    <w:p>
      <w:pPr>
        <w:pStyle w:val="Heading"/>
        <w:jc w:val="end"/>
        <w:rPr>
          <w:b/>
          <w:i/>
          <w:i/>
          <w:u w:val="none"/>
        </w:rPr>
      </w:pPr>
      <w:r>
        <w:rPr>
          <w:b/>
          <w:i/>
          <w:u w:val="none"/>
        </w:rPr>
      </w:r>
    </w:p>
    <w:p>
      <w:pPr>
        <w:pStyle w:val="Heading"/>
        <w:jc w:val="end"/>
        <w:rPr>
          <w:b/>
        </w:rPr>
      </w:pPr>
      <w:r>
        <w:rPr>
          <w:b/>
        </w:rPr>
      </w:r>
    </w:p>
    <w:p>
      <w:pPr>
        <w:pStyle w:val="Heading"/>
        <w:rPr>
          <w:b/>
        </w:rPr>
      </w:pPr>
      <w:r>
        <w:rPr>
          <w:b/>
        </w:rPr>
        <w:t>AMENDMENT AGREEMENT</w:t>
      </w:r>
    </w:p>
    <w:p>
      <w:pPr>
        <w:pStyle w:val="Normal"/>
        <w:jc w:val="center"/>
        <w:rPr>
          <w:b/>
        </w:rPr>
      </w:pPr>
      <w:r>
        <w:rPr>
          <w:b/>
        </w:rPr>
      </w:r>
    </w:p>
    <w:p>
      <w:pPr>
        <w:pStyle w:val="Normal"/>
        <w:jc w:val="center"/>
        <w:rPr/>
      </w:pPr>
      <w:r>
        <w:rPr/>
      </w:r>
    </w:p>
    <w:p>
      <w:pPr>
        <w:pStyle w:val="Normal"/>
        <w:rPr/>
      </w:pPr>
      <w:r>
        <w:rPr/>
        <w:tab/>
        <w:t xml:space="preserve">This Amendment Agreement, dated as of _______ (the “Amendment Agreement”) is entered into between Transalta Energy Marketing (U.S.) Inc. (the surviving entity of the merger of Merchant Energy Group of the Americas, Inc. (“MEGA”) into Transalta Energy Marketing (U.S.) Inc. (“Transalta”)) and Enron North America Corp. (“ENRON”). </w:t>
      </w:r>
    </w:p>
    <w:p>
      <w:pPr>
        <w:pStyle w:val="Normal"/>
        <w:rPr/>
      </w:pPr>
      <w:r>
        <w:rPr/>
      </w:r>
    </w:p>
    <w:p>
      <w:pPr>
        <w:pStyle w:val="Heading1"/>
        <w:ind w:hanging="0" w:start="0"/>
        <w:rPr/>
      </w:pPr>
      <w:r>
        <w:rPr/>
        <w:t>W I T N E S S E T H</w:t>
      </w:r>
    </w:p>
    <w:p>
      <w:pPr>
        <w:pStyle w:val="Normal"/>
        <w:jc w:val="center"/>
        <w:rPr/>
      </w:pPr>
      <w:r>
        <w:rPr/>
      </w:r>
    </w:p>
    <w:p>
      <w:pPr>
        <w:pStyle w:val="Normal"/>
        <w:rPr/>
      </w:pPr>
      <w:r>
        <w:rPr/>
        <w:tab/>
      </w:r>
      <w:r>
        <w:rPr>
          <w:b/>
        </w:rPr>
        <w:t>WHEREAS,</w:t>
      </w:r>
      <w:r>
        <w:rPr/>
        <w:t xml:space="preserve"> ENRON and MEGA have entered into an ISDA Master Agreement, dated as of May 14, 1998, a Schedule, dated as of May 14, 1998, and a Credit Support Annex to the Schedule to the Master Agreement, dated as of May 14, 1998 (the “Credit Support Annex”, together with the Master Agreement and Schedule, Exhibits and Confirmations, the “ISDA Master Agreement”);</w:t>
      </w:r>
    </w:p>
    <w:p>
      <w:pPr>
        <w:pStyle w:val="Normal"/>
        <w:rPr/>
      </w:pPr>
      <w:r>
        <w:rPr/>
      </w:r>
    </w:p>
    <w:p>
      <w:pPr>
        <w:pStyle w:val="Normal"/>
        <w:rPr/>
      </w:pPr>
      <w:r>
        <w:rPr/>
        <w:tab/>
      </w:r>
      <w:r>
        <w:rPr>
          <w:b/>
        </w:rPr>
        <w:t>WHEREAS,</w:t>
      </w:r>
      <w:r>
        <w:rPr/>
        <w:t xml:space="preserve"> MEGA was merged into Transalta, effective August 29, 2001;</w:t>
      </w:r>
    </w:p>
    <w:p>
      <w:pPr>
        <w:pStyle w:val="Normal"/>
        <w:rPr/>
      </w:pPr>
      <w:r>
        <w:rPr/>
      </w:r>
    </w:p>
    <w:p>
      <w:pPr>
        <w:pStyle w:val="Normal"/>
        <w:ind w:firstLine="720" w:end="0"/>
        <w:rPr/>
      </w:pPr>
      <w:r>
        <w:rPr>
          <w:b/>
        </w:rPr>
        <w:t>WHEREAS,</w:t>
      </w:r>
      <w:r>
        <w:rPr/>
        <w:t xml:space="preserve"> Transalta desires the terms of the ISDA Master Agreement to govern the terms and conditions of Transactions with ENRON;</w:t>
      </w:r>
    </w:p>
    <w:p>
      <w:pPr>
        <w:pStyle w:val="Normal"/>
        <w:ind w:firstLine="720" w:end="0"/>
        <w:rPr/>
      </w:pPr>
      <w:r>
        <w:rPr/>
      </w:r>
    </w:p>
    <w:p>
      <w:pPr>
        <w:pStyle w:val="Normal"/>
        <w:ind w:firstLine="720" w:end="0"/>
        <w:rPr/>
      </w:pPr>
      <w:r>
        <w:rPr>
          <w:b/>
        </w:rPr>
        <w:t>WHEREAS,</w:t>
      </w:r>
      <w:r>
        <w:rPr/>
        <w:t xml:space="preserve"> Transalta and ENRON desires to amend the Credit Support Annex;</w:t>
      </w:r>
    </w:p>
    <w:p>
      <w:pPr>
        <w:pStyle w:val="Normal"/>
        <w:rPr/>
      </w:pPr>
      <w:r>
        <w:rPr/>
      </w:r>
    </w:p>
    <w:p>
      <w:pPr>
        <w:pStyle w:val="Normal"/>
        <w:rPr/>
      </w:pPr>
      <w:r>
        <w:rPr/>
        <w:tab/>
      </w:r>
    </w:p>
    <w:p>
      <w:pPr>
        <w:pStyle w:val="Normal"/>
        <w:rPr/>
      </w:pPr>
      <w:r>
        <w:rPr/>
      </w:r>
    </w:p>
    <w:p>
      <w:pPr>
        <w:pStyle w:val="Normal"/>
        <w:rPr/>
      </w:pPr>
      <w:r>
        <w:rPr/>
        <w:tab/>
      </w:r>
      <w:r>
        <w:rPr>
          <w:b/>
        </w:rPr>
        <w:t>NOW, THEREFORE,</w:t>
      </w:r>
      <w:r>
        <w:rPr/>
        <w:t xml:space="preserve"> in consideration of the premises and of the mutual agreements herein contained, the parties agree as follows:</w:t>
      </w:r>
    </w:p>
    <w:p>
      <w:pPr>
        <w:pStyle w:val="Normal"/>
        <w:rPr/>
      </w:pPr>
      <w:r>
        <w:rPr/>
      </w:r>
    </w:p>
    <w:p>
      <w:pPr>
        <w:pStyle w:val="Normal"/>
        <w:rPr/>
      </w:pPr>
      <w:r>
        <w:rPr/>
        <w:t>1.</w:t>
        <w:tab/>
      </w:r>
      <w:r>
        <w:rPr>
          <w:u w:val="single"/>
        </w:rPr>
        <w:t>Amendment to the ISDA Master Agreement</w:t>
      </w:r>
      <w:r>
        <w:rPr/>
        <w:t>.   The parties wish to amend the terms and conditions of the ISDA Master Agreement pursuant to the terms set forth below:</w:t>
      </w:r>
    </w:p>
    <w:p>
      <w:pPr>
        <w:pStyle w:val="Normal"/>
        <w:rPr/>
      </w:pPr>
      <w:r>
        <w:rPr/>
      </w:r>
    </w:p>
    <w:p>
      <w:pPr>
        <w:pStyle w:val="Normal"/>
        <w:numPr>
          <w:ilvl w:val="0"/>
          <w:numId w:val="3"/>
        </w:numPr>
        <w:rPr/>
      </w:pPr>
      <w:r>
        <w:rPr/>
        <w:t>All references to “Merchant Energy Group of the Americas, Inc.” shall be deemed to be references to “Transalta Energy Marketing (U.S.) Inc.”</w:t>
      </w:r>
    </w:p>
    <w:p>
      <w:pPr>
        <w:pStyle w:val="Normal"/>
        <w:ind w:start="1440" w:end="0"/>
        <w:rPr/>
      </w:pPr>
      <w:r>
        <w:rPr/>
      </w:r>
    </w:p>
    <w:p>
      <w:pPr>
        <w:pStyle w:val="Normal"/>
        <w:numPr>
          <w:ilvl w:val="0"/>
          <w:numId w:val="3"/>
        </w:numPr>
        <w:rPr/>
      </w:pPr>
      <w:r>
        <w:rPr/>
        <w:t>The Schedule to the ISDA Master Agreement is hereby amended by deleting the Address for notices or communications to Party B in Part 4(a) in its entirety and replacing it as follows:</w:t>
      </w:r>
    </w:p>
    <w:p>
      <w:pPr>
        <w:pStyle w:val="Normal"/>
        <w:rPr/>
      </w:pPr>
      <w:r>
        <w:rPr/>
      </w:r>
    </w:p>
    <w:p>
      <w:pPr>
        <w:pStyle w:val="Normal"/>
        <w:rPr/>
      </w:pPr>
      <w:r>
        <w:rPr/>
        <w:tab/>
        <w:tab/>
        <w:tab/>
        <w:t>“Part 4(a)(ii) Address for notices or communication to Party B: -</w:t>
      </w:r>
    </w:p>
    <w:p>
      <w:pPr>
        <w:pStyle w:val="Normal"/>
        <w:rPr/>
      </w:pPr>
      <w:r>
        <w:rPr/>
        <w:tab/>
        <w:tab/>
        <w:tab/>
      </w:r>
    </w:p>
    <w:p>
      <w:pPr>
        <w:pStyle w:val="Normal"/>
        <w:ind w:start="720" w:end="0"/>
        <w:rPr/>
      </w:pPr>
      <w:r>
        <w:rPr/>
        <w:tab/>
        <w:tab/>
        <w:t>Transalta Energy Marketing (U.S.) Inc.</w:t>
      </w:r>
    </w:p>
    <w:p>
      <w:pPr>
        <w:pStyle w:val="Normal"/>
        <w:rPr/>
      </w:pPr>
      <w:r>
        <w:rPr/>
        <w:t xml:space="preserve"> </w:t>
      </w:r>
      <w:r>
        <w:rPr/>
        <w:tab/>
        <w:tab/>
        <w:tab/>
        <w:t>110-12</w:t>
      </w:r>
      <w:r>
        <w:rPr>
          <w:vertAlign w:val="superscript"/>
        </w:rPr>
        <w:t>th</w:t>
      </w:r>
      <w:r>
        <w:rPr/>
        <w:t xml:space="preserve"> Avenue S.W.</w:t>
      </w:r>
    </w:p>
    <w:p>
      <w:pPr>
        <w:pStyle w:val="Normal"/>
        <w:ind w:firstLine="720" w:start="1440" w:end="0"/>
        <w:rPr/>
      </w:pPr>
      <w:r>
        <w:rPr/>
        <w:t>Calgary, Alberta, Canada T2P 2M1</w:t>
      </w:r>
    </w:p>
    <w:p>
      <w:pPr>
        <w:pStyle w:val="Normal"/>
        <w:rPr/>
      </w:pPr>
      <w:r>
        <w:rPr/>
        <w:tab/>
        <w:tab/>
        <w:tab/>
        <w:t>Attention: Trading Administration</w:t>
      </w:r>
    </w:p>
    <w:p>
      <w:pPr>
        <w:pStyle w:val="Normal"/>
        <w:rPr/>
      </w:pPr>
      <w:r>
        <w:rPr/>
        <w:tab/>
        <w:tab/>
        <w:tab/>
      </w:r>
    </w:p>
    <w:p>
      <w:pPr>
        <w:pStyle w:val="Normal"/>
        <w:rPr/>
      </w:pPr>
      <w:r>
        <w:rPr/>
        <w:tab/>
        <w:tab/>
        <w:tab/>
        <w:t>Telephone No.:403-267-7110</w:t>
      </w:r>
    </w:p>
    <w:p>
      <w:pPr>
        <w:pStyle w:val="Normal"/>
        <w:rPr/>
      </w:pPr>
      <w:r>
        <w:rPr/>
        <w:tab/>
        <w:tab/>
        <w:tab/>
        <w:t>Facsimile No..:403-267-6906”</w:t>
      </w:r>
    </w:p>
    <w:p>
      <w:pPr>
        <w:pStyle w:val="Normal"/>
        <w:rPr/>
      </w:pPr>
      <w:r>
        <w:rPr/>
      </w:r>
    </w:p>
    <w:p>
      <w:pPr>
        <w:pStyle w:val="Normal"/>
        <w:rPr/>
      </w:pPr>
      <w:r>
        <w:rPr/>
      </w:r>
    </w:p>
    <w:p>
      <w:pPr>
        <w:pStyle w:val="Normal"/>
        <w:numPr>
          <w:ilvl w:val="0"/>
          <w:numId w:val="3"/>
        </w:numPr>
        <w:rPr/>
      </w:pPr>
      <w:r>
        <w:rPr/>
        <w:t>The Schedule to the ISDA Master Agreement is hereby amended by deleting Part 4(d)(ii) in its entirety and replaced as follows:</w:t>
      </w:r>
    </w:p>
    <w:p>
      <w:pPr>
        <w:pStyle w:val="Normal"/>
        <w:ind w:start="1440" w:end="0"/>
        <w:rPr/>
      </w:pPr>
      <w:r>
        <w:rPr/>
      </w:r>
    </w:p>
    <w:p>
      <w:pPr>
        <w:pStyle w:val="Normal"/>
        <w:ind w:start="2160" w:end="0"/>
        <w:rPr/>
      </w:pPr>
      <w:r>
        <w:rPr/>
        <w:t>“</w:t>
      </w:r>
      <w:r>
        <w:rPr>
          <w:b/>
        </w:rPr>
        <w:t>(ii) Guaranty dated______by TransAlta Corp. in favor of Party A as beneficiary thereof, in a form reasonably acceptable to Party A;”</w:t>
      </w:r>
    </w:p>
    <w:p>
      <w:pPr>
        <w:pStyle w:val="Normal"/>
        <w:rPr/>
      </w:pPr>
      <w:r>
        <w:rPr/>
      </w:r>
    </w:p>
    <w:p>
      <w:pPr>
        <w:pStyle w:val="Normal"/>
        <w:numPr>
          <w:ilvl w:val="0"/>
          <w:numId w:val="3"/>
        </w:numPr>
        <w:rPr/>
      </w:pPr>
      <w:r>
        <w:rPr/>
        <w:t>The Schedule to the ISDA Master Agreement is hereby amended by deleting Part 4(e)(ii) in its entirety and replaced with the following:</w:t>
      </w:r>
    </w:p>
    <w:p>
      <w:pPr>
        <w:pStyle w:val="Normal"/>
        <w:ind w:start="2160" w:end="0"/>
        <w:rPr/>
      </w:pPr>
      <w:r>
        <w:rPr/>
      </w:r>
    </w:p>
    <w:p>
      <w:pPr>
        <w:pStyle w:val="BodyTextIndent"/>
        <w:rPr/>
      </w:pPr>
      <w:r>
        <w:rPr/>
        <w:t>“</w:t>
      </w:r>
      <w:r>
        <w:rPr/>
        <w:t>(ii) Credit Support Provider means in relation to Party B: Transalta Corporation”</w:t>
      </w:r>
    </w:p>
    <w:p>
      <w:pPr>
        <w:pStyle w:val="Normal"/>
        <w:ind w:start="2160" w:end="0"/>
        <w:rPr/>
      </w:pPr>
      <w:r>
        <w:rPr/>
      </w:r>
    </w:p>
    <w:p>
      <w:pPr>
        <w:pStyle w:val="Normal"/>
        <w:numPr>
          <w:ilvl w:val="0"/>
          <w:numId w:val="3"/>
        </w:numPr>
        <w:rPr/>
      </w:pPr>
      <w:r>
        <w:rPr/>
        <w:t>Paragraph 13 of  the Credit Support Annex to the ISDA Master Agreement is hereby amended by deleting Paragraph 13(iv)(B) in its entirety and replaced with the following:</w:t>
      </w:r>
    </w:p>
    <w:p>
      <w:pPr>
        <w:pStyle w:val="Normal"/>
        <w:rPr/>
      </w:pPr>
      <w:r>
        <w:rPr/>
      </w:r>
    </w:p>
    <w:p>
      <w:pPr>
        <w:pStyle w:val="Normal"/>
        <w:ind w:start="2160" w:end="0"/>
        <w:rPr/>
      </w:pPr>
      <w:r>
        <w:rPr/>
        <w:t>“</w:t>
      </w:r>
      <w:r>
        <w:rPr/>
        <w:t xml:space="preserve">(B) </w:t>
      </w:r>
      <w:r>
        <w:rPr>
          <w:b/>
          <w:bCs/>
        </w:rPr>
        <w:t>“Threshold”</w:t>
      </w:r>
      <w:r>
        <w:rPr/>
        <w:t xml:space="preserve"> means with respect to Party A, U.S. $10,000,000 and with respect to Party B, U.S. $10,000,000; provided, however, that the Threshold for such party shall be zero upon the occurrence and during the continuance of a Material Adverse Change or an Event of Default or Potential Event of Default with respect to such party.”</w:t>
      </w:r>
    </w:p>
    <w:p>
      <w:pPr>
        <w:pStyle w:val="Normal"/>
        <w:ind w:start="1440" w:end="0"/>
        <w:rPr/>
      </w:pPr>
      <w:r>
        <w:rPr/>
      </w:r>
    </w:p>
    <w:p>
      <w:pPr>
        <w:pStyle w:val="Normal"/>
        <w:ind w:start="1440" w:end="0"/>
        <w:rPr/>
      </w:pPr>
      <w:r>
        <w:rPr/>
        <w:tab/>
        <w:tab/>
        <w:tab/>
        <w:tab/>
        <w:tab/>
      </w:r>
    </w:p>
    <w:p>
      <w:pPr>
        <w:pStyle w:val="Normal"/>
        <w:numPr>
          <w:ilvl w:val="0"/>
          <w:numId w:val="2"/>
        </w:numPr>
        <w:ind w:hanging="720" w:start="720" w:end="0"/>
        <w:rPr/>
      </w:pPr>
      <w:r>
        <w:rPr>
          <w:u w:val="single"/>
        </w:rPr>
        <w:t>Representations</w:t>
      </w:r>
      <w:r>
        <w:rPr/>
        <w:t>. Each of the parties hereto represents and warrants to the others as of the date hereof that (i) it has all necessary corporate power, authority and approvals to execute, deliver and perform its obligations under this Amendment Agreement which is a legal, valid and binding obligation enforceable against it in accordance with its terms; (ii) this agreement does not and will not violate or conflict with its charter or by-laws (or comparable constituent documents), any law, regulation or order of any court or other agency of government applicable to it or any agreement to which it is a party or by which it or any of its property is bound; and (iii) the person signing this Amendment Agreement for such party is an officer or director of such party and is authorized and duly powered to do so.</w:t>
      </w:r>
    </w:p>
    <w:p>
      <w:pPr>
        <w:pStyle w:val="Normal"/>
        <w:rPr/>
      </w:pPr>
      <w:r>
        <w:rPr/>
      </w:r>
    </w:p>
    <w:p>
      <w:pPr>
        <w:pStyle w:val="Normal"/>
        <w:numPr>
          <w:ilvl w:val="0"/>
          <w:numId w:val="2"/>
        </w:numPr>
        <w:ind w:hanging="720" w:start="720" w:end="0"/>
        <w:rPr/>
      </w:pPr>
      <w:r>
        <w:rPr>
          <w:u w:val="single"/>
        </w:rPr>
        <w:t>Headings</w:t>
      </w:r>
      <w:r>
        <w:rPr/>
        <w:t>:  Except as modified in this Amendment Agreement, all terms and conditions of the Master Agreement shall remain in full force and effect.  All capitalized terms used but not defined in this Amendment Agreement shall have the meaning specified in the Master Agreement.</w:t>
      </w:r>
    </w:p>
    <w:p>
      <w:pPr>
        <w:pStyle w:val="Normal"/>
        <w:rPr>
          <w:u w:val="single"/>
        </w:rPr>
      </w:pPr>
      <w:r>
        <w:rPr>
          <w:u w:val="single"/>
        </w:rPr>
      </w:r>
    </w:p>
    <w:p>
      <w:pPr>
        <w:pStyle w:val="Normal"/>
        <w:numPr>
          <w:ilvl w:val="0"/>
          <w:numId w:val="2"/>
        </w:numPr>
        <w:ind w:hanging="720" w:start="720" w:end="0"/>
        <w:rPr/>
      </w:pPr>
      <w:r>
        <w:rPr>
          <w:u w:val="single"/>
        </w:rPr>
        <w:t>Governing Law</w:t>
      </w:r>
      <w:r>
        <w:rPr/>
        <w:t>. This Amendment Agreement constitutes the entire agreement and understanding of the parties with respect to the subject matter hereof.  This Amendment Agreement shall be governed by and construed in accordance with the laws of the State of New York without reference to choice of law doctrine, and may be executed in counterparties, each of which shall be deemed an original and all of which taken together shall constitute one and the same instrument.</w:t>
      </w:r>
    </w:p>
    <w:p>
      <w:pPr>
        <w:pStyle w:val="Normal"/>
        <w:rPr/>
      </w:pPr>
      <w:r>
        <w:rPr/>
      </w:r>
    </w:p>
    <w:p>
      <w:pPr>
        <w:pStyle w:val="Normal"/>
        <w:rPr/>
      </w:pPr>
      <w:r>
        <w:rPr/>
      </w:r>
      <w:r>
        <w:br w:type="page"/>
      </w:r>
    </w:p>
    <w:p>
      <w:pPr>
        <w:pStyle w:val="Normal"/>
        <w:ind w:firstLine="720" w:end="0"/>
        <w:rPr/>
      </w:pPr>
      <w:r>
        <w:rPr>
          <w:b/>
        </w:rPr>
        <w:t>IN WITNESS WHEREOF,</w:t>
      </w:r>
      <w:r>
        <w:rPr/>
        <w:t xml:space="preserve"> the parties hereto have caused this Amendment Agreement to be executed by their respective officers thereunto duly authorized as the day and year first above written.</w:t>
      </w:r>
    </w:p>
    <w:p>
      <w:pPr>
        <w:pStyle w:val="Normal"/>
        <w:ind w:start="720" w:end="0"/>
        <w:rPr/>
      </w:pPr>
      <w:r>
        <w:rPr/>
      </w:r>
    </w:p>
    <w:p>
      <w:pPr>
        <w:pStyle w:val="Normal"/>
        <w:ind w:start="720" w:end="0"/>
        <w:rPr/>
      </w:pPr>
      <w:r>
        <w:rPr/>
      </w:r>
    </w:p>
    <w:p>
      <w:pPr>
        <w:pStyle w:val="Normal"/>
        <w:spacing w:before="0" w:after="240"/>
        <w:ind w:start="4320" w:end="0"/>
        <w:jc w:val="both"/>
        <w:rPr>
          <w:b/>
        </w:rPr>
      </w:pPr>
      <w:r>
        <w:rPr>
          <w:b/>
        </w:rPr>
        <w:t xml:space="preserve">TRANSALTA ENERGY MARKETING (U.S.) INC. </w:t>
      </w:r>
    </w:p>
    <w:p>
      <w:pPr>
        <w:pStyle w:val="Normal"/>
        <w:spacing w:before="0" w:after="240"/>
        <w:ind w:start="4320" w:end="0"/>
        <w:jc w:val="both"/>
        <w:rPr>
          <w:b/>
        </w:rPr>
      </w:pPr>
      <w:r>
        <w:rPr>
          <w:b/>
        </w:rPr>
      </w:r>
    </w:p>
    <w:p>
      <w:pPr>
        <w:pStyle w:val="Normal"/>
        <w:tabs>
          <w:tab w:val="clear" w:pos="720"/>
          <w:tab w:val="left" w:pos="4680" w:leader="none"/>
        </w:tabs>
        <w:spacing w:before="0" w:after="240"/>
        <w:ind w:start="4320" w:end="0"/>
        <w:jc w:val="both"/>
        <w:rPr/>
      </w:pPr>
      <w:r>
        <w:rPr/>
        <w:t xml:space="preserve">By: </w:t>
      </w:r>
      <w:r>
        <w:rPr>
          <w:u w:val="single"/>
        </w:rPr>
        <w:tab/>
        <w:tab/>
        <w:tab/>
        <w:tab/>
        <w:tab/>
        <w:tab/>
        <w:tab/>
      </w:r>
      <w:r>
        <w:rPr/>
        <w:br/>
        <w:tab/>
        <w:t>Name:</w:t>
        <w:br/>
        <w:tab/>
        <w:t>Title:</w:t>
        <w:br/>
        <w:tab/>
        <w:t>Date:</w:t>
      </w:r>
    </w:p>
    <w:p>
      <w:pPr>
        <w:pStyle w:val="Normal"/>
        <w:tabs>
          <w:tab w:val="clear" w:pos="720"/>
          <w:tab w:val="left" w:pos="4680" w:leader="none"/>
        </w:tabs>
        <w:spacing w:before="0" w:after="240"/>
        <w:ind w:start="4320" w:end="0"/>
        <w:jc w:val="both"/>
        <w:rPr/>
      </w:pPr>
      <w:r>
        <w:rPr/>
        <w:t xml:space="preserve">By: </w:t>
      </w:r>
      <w:r>
        <w:rPr>
          <w:u w:val="single"/>
        </w:rPr>
        <w:tab/>
        <w:tab/>
        <w:tab/>
        <w:tab/>
        <w:tab/>
        <w:tab/>
        <w:tab/>
      </w:r>
      <w:r>
        <w:rPr/>
        <w:br/>
        <w:tab/>
        <w:t>Name:</w:t>
        <w:br/>
        <w:tab/>
        <w:t>Title:</w:t>
        <w:br/>
        <w:tab/>
        <w:t>Date:</w:t>
      </w:r>
    </w:p>
    <w:p>
      <w:pPr>
        <w:pStyle w:val="Normal"/>
        <w:spacing w:before="0" w:after="240"/>
        <w:jc w:val="both"/>
        <w:rPr/>
      </w:pPr>
      <w:r>
        <w:rPr/>
      </w:r>
    </w:p>
    <w:p>
      <w:pPr>
        <w:pStyle w:val="Normal"/>
        <w:spacing w:before="0" w:after="240"/>
        <w:ind w:start="4320" w:end="0"/>
        <w:jc w:val="both"/>
        <w:rPr>
          <w:b/>
        </w:rPr>
      </w:pPr>
      <w:r>
        <w:rPr>
          <w:b/>
        </w:rPr>
        <w:t>ENRON NORTH AMERICA CORP.</w:t>
      </w:r>
    </w:p>
    <w:p>
      <w:pPr>
        <w:pStyle w:val="Normal"/>
        <w:spacing w:before="0" w:after="240"/>
        <w:ind w:start="4320" w:end="0"/>
        <w:jc w:val="both"/>
        <w:rPr>
          <w:b/>
        </w:rPr>
      </w:pPr>
      <w:r>
        <w:rPr>
          <w:b/>
        </w:rPr>
      </w:r>
    </w:p>
    <w:p>
      <w:pPr>
        <w:pStyle w:val="Normal"/>
        <w:tabs>
          <w:tab w:val="clear" w:pos="720"/>
          <w:tab w:val="left" w:pos="4680" w:leader="none"/>
        </w:tabs>
        <w:spacing w:before="0" w:after="240"/>
        <w:ind w:start="4320" w:end="0"/>
        <w:jc w:val="both"/>
        <w:rPr/>
      </w:pPr>
      <w:r>
        <w:rPr/>
        <w:t xml:space="preserve">By: </w:t>
      </w:r>
      <w:r>
        <w:rPr>
          <w:u w:val="single"/>
        </w:rPr>
        <w:tab/>
        <w:tab/>
        <w:tab/>
        <w:tab/>
        <w:tab/>
        <w:tab/>
        <w:tab/>
      </w:r>
      <w:r>
        <w:rPr/>
        <w:br/>
        <w:tab/>
        <w:t>Name:</w:t>
        <w:br/>
        <w:tab/>
        <w:t>Title:</w:t>
        <w:br/>
        <w:tab/>
        <w:t>Date: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/mnt/main-storage/datasets/enron-docs/doc/Enron_NA_AMENDMENT___schedule___blk1.doc</w:t>
    </w:r>
    <w:r>
      <w:rPr>
        <w:rStyle w:val="PageNumbe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abstractNum w:abstractNumId="3">
    <w:lvl w:ilvl="0">
      <w:start w:val="1"/>
      <w:numFmt w:val="lowerLetter"/>
      <w:lvlText w:val="(%1)"/>
      <w:lvlJc w:val="start"/>
      <w:pPr>
        <w:tabs>
          <w:tab w:val="num" w:pos="2160"/>
        </w:tabs>
        <w:ind w:start="2160" w:hanging="720"/>
      </w:pPr>
      <w:rPr/>
    </w:lvl>
  </w:abstractNum>
  <w:abstractNum w:abstractNumId="4">
    <w:lvl w:ilvl="0">
      <w:start w:val="1"/>
      <w:numFmt w:val="decimal"/>
      <w:lvlText w:val="Section %1."/>
      <w:lvlJc w:val="start"/>
      <w:pPr>
        <w:tabs>
          <w:tab w:val="num" w:pos="216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isLgl/>
      <w:numFmt w:val="decimalZero"/>
      <w:lvlText w:val="%1.%2."/>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72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WW8Num3z0">
    <w:name w:val="WW8Num3z0"/>
    <w:qFormat/>
    <w:rPr>
      <w:u w:val="singl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spacing w:before="0" w:after="160"/>
      <w:ind w:firstLine="720" w:start="0" w:end="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ection1L1">
    <w:name w:val="Section1_L1"/>
    <w:basedOn w:val="Normal"/>
    <w:next w:val="Normal"/>
    <w:qFormat/>
    <w:pPr>
      <w:numPr>
        <w:ilvl w:val="0"/>
        <w:numId w:val="4"/>
      </w:numPr>
      <w:tabs>
        <w:tab w:val="clear" w:pos="720"/>
        <w:tab w:val="left" w:pos="1440" w:leader="none"/>
      </w:tabs>
      <w:spacing w:before="0" w:after="240"/>
      <w:outlineLvl w:val="0"/>
    </w:pPr>
    <w:rPr>
      <w:sz w:val="22"/>
    </w:rPr>
  </w:style>
  <w:style w:type="paragraph" w:styleId="Section1L2">
    <w:name w:val="Section1_L2"/>
    <w:basedOn w:val="Section1L1"/>
    <w:next w:val="Normal"/>
    <w:qFormat/>
    <w:pPr>
      <w:numPr>
        <w:ilvl w:val="0"/>
        <w:numId w:val="4"/>
      </w:numPr>
      <w:tabs>
        <w:tab w:val="left" w:pos="360" w:leader="none"/>
        <w:tab w:val="left" w:pos="1440" w:leader="none"/>
      </w:tabs>
      <w:outlineLvl w:val="1"/>
    </w:pPr>
    <w:rPr/>
  </w:style>
  <w:style w:type="paragraph" w:styleId="Section1L3">
    <w:name w:val="Section1_L3"/>
    <w:basedOn w:val="Section1L2"/>
    <w:next w:val="Normal"/>
    <w:qFormat/>
    <w:pPr>
      <w:numPr>
        <w:ilvl w:val="0"/>
        <w:numId w:val="4"/>
      </w:numPr>
      <w:tabs>
        <w:tab w:val="clear" w:pos="1440"/>
        <w:tab w:val="left" w:pos="360" w:leader="none"/>
      </w:tabs>
      <w:outlineLvl w:val="2"/>
    </w:pPr>
    <w:rPr/>
  </w:style>
  <w:style w:type="paragraph" w:styleId="Section1L4">
    <w:name w:val="Section1_L4"/>
    <w:basedOn w:val="Section1L3"/>
    <w:next w:val="Normal"/>
    <w:qFormat/>
    <w:pPr>
      <w:numPr>
        <w:ilvl w:val="0"/>
        <w:numId w:val="4"/>
      </w:numPr>
      <w:outlineLvl w:val="3"/>
    </w:pPr>
    <w:rPr/>
  </w:style>
  <w:style w:type="paragraph" w:styleId="Section1L5">
    <w:name w:val="Section1_L5"/>
    <w:basedOn w:val="Section1L4"/>
    <w:next w:val="Normal"/>
    <w:qFormat/>
    <w:pPr>
      <w:numPr>
        <w:ilvl w:val="0"/>
        <w:numId w:val="4"/>
      </w:numPr>
      <w:outlineLvl w:val="4"/>
    </w:pPr>
    <w:rPr/>
  </w:style>
  <w:style w:type="paragraph" w:styleId="Section1L6">
    <w:name w:val="Section1_L6"/>
    <w:basedOn w:val="Section1L5"/>
    <w:next w:val="Normal"/>
    <w:qFormat/>
    <w:pPr>
      <w:numPr>
        <w:ilvl w:val="0"/>
        <w:numId w:val="4"/>
      </w:numPr>
      <w:outlineLvl w:val="5"/>
    </w:pPr>
    <w:rPr/>
  </w:style>
  <w:style w:type="paragraph" w:styleId="Section1L7">
    <w:name w:val="Section1_L7"/>
    <w:basedOn w:val="Section1L6"/>
    <w:next w:val="Normal"/>
    <w:qFormat/>
    <w:pPr>
      <w:numPr>
        <w:ilvl w:val="0"/>
        <w:numId w:val="4"/>
      </w:numPr>
      <w:outlineLvl w:val="6"/>
    </w:pPr>
    <w:rPr/>
  </w:style>
  <w:style w:type="paragraph" w:styleId="Section1L8">
    <w:name w:val="Section1_L8"/>
    <w:basedOn w:val="Section1L7"/>
    <w:next w:val="Normal"/>
    <w:qFormat/>
    <w:pPr>
      <w:numPr>
        <w:ilvl w:val="0"/>
        <w:numId w:val="4"/>
      </w:numPr>
      <w:outlineLvl w:val="7"/>
    </w:pPr>
    <w:rPr/>
  </w:style>
  <w:style w:type="paragraph" w:styleId="BodyTextIndent">
    <w:name w:val="Body Text Indent"/>
    <w:basedOn w:val="Normal"/>
    <w:pPr>
      <w:ind w:hanging="0" w:start="2160" w:end="0"/>
    </w:pPr>
    <w:rPr>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2001-10-05T18:36:00Z</dcterms:created>
  <dc:creator>bethng</dc:creator>
  <dc:description/>
  <dc:language>en-CA</dc:language>
  <cp:lastModifiedBy>skoch</cp:lastModifiedBy>
  <cp:lastPrinted>2001-09-26T08:45:00Z</cp:lastPrinted>
  <dcterms:modified xsi:type="dcterms:W3CDTF">2001-10-05T19:18:00Z</dcterms:modified>
  <cp:revision>4</cp:revision>
  <dc:subject/>
  <dc:title>AMENDMENT, ASSIGNMENT AND TERMINATION AGREEMENT</dc:title>
</cp:coreProperties>
</file>