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t>Proposed revisions to Enron North America Corp’s Enfolio Master Firm Purchase/Sale Agreement</w:t>
      </w:r>
    </w:p>
    <w:p>
      <w:pPr>
        <w:pStyle w:val="Normal"/>
        <w:rPr/>
      </w:pPr>
      <w:r>
        <w:rPr/>
      </w:r>
    </w:p>
    <w:p>
      <w:pPr>
        <w:pStyle w:val="Normal"/>
        <w:rPr/>
      </w:pPr>
      <w:r>
        <w:rPr/>
      </w:r>
    </w:p>
    <w:p>
      <w:pPr>
        <w:pStyle w:val="Normal"/>
        <w:jc w:val="center"/>
        <w:rPr/>
      </w:pPr>
      <w:r>
        <w:rPr/>
      </w:r>
    </w:p>
    <w:p>
      <w:pPr>
        <w:pStyle w:val="Heading1"/>
        <w:ind w:hanging="0" w:start="0"/>
        <w:rPr/>
      </w:pPr>
      <w:r>
        <w:rPr/>
        <w:t xml:space="preserve">Article 3.5 </w:t>
      </w:r>
    </w:p>
    <w:p>
      <w:pPr>
        <w:pStyle w:val="Normal"/>
        <w:rPr/>
      </w:pPr>
      <w:r>
        <w:rPr/>
      </w:r>
    </w:p>
    <w:p>
      <w:pPr>
        <w:pStyle w:val="Normal"/>
        <w:rPr/>
      </w:pPr>
      <w:r>
        <w:rPr/>
        <w:t>“</w:t>
      </w:r>
      <w:r>
        <w:rPr/>
        <w:t xml:space="preserve">In the event that Buyer and Seller are each required to pay an amount in the same Month </w:t>
      </w:r>
      <w:r>
        <w:rPr>
          <w:b/>
          <w:color w:val="FF0000"/>
        </w:rPr>
        <w:t xml:space="preserve">pursuant to Transactions entered into under this Agreement </w:t>
      </w:r>
      <w:r>
        <w:rPr>
          <w:strike/>
        </w:rPr>
        <w:t>hereunder</w:t>
      </w:r>
      <w:r>
        <w:rPr/>
        <w:t>, then such amounts with respect to…”</w:t>
      </w:r>
    </w:p>
    <w:p>
      <w:pPr>
        <w:pStyle w:val="Normal"/>
        <w:rPr/>
      </w:pPr>
      <w:r>
        <w:rPr/>
      </w:r>
    </w:p>
    <w:p>
      <w:pPr>
        <w:pStyle w:val="Normal"/>
        <w:rPr/>
      </w:pPr>
      <w:r>
        <w:rPr/>
      </w:r>
    </w:p>
    <w:p>
      <w:pPr>
        <w:pStyle w:val="Normal"/>
        <w:rPr/>
      </w:pPr>
      <w:r>
        <w:rPr>
          <w:u w:val="single"/>
        </w:rPr>
        <w:t>Article 4.1</w:t>
      </w:r>
      <w:r>
        <w:rPr/>
        <w:t xml:space="preserve"> </w:t>
      </w:r>
    </w:p>
    <w:p>
      <w:pPr>
        <w:pStyle w:val="Normal"/>
        <w:rPr/>
      </w:pPr>
      <w:r>
        <w:rPr/>
      </w:r>
    </w:p>
    <w:p>
      <w:pPr>
        <w:pStyle w:val="Normal"/>
        <w:rPr/>
      </w:pPr>
      <w:r>
        <w:rPr/>
        <w:t>Strike the sentence on Line 42 beginning with “</w:t>
      </w:r>
      <w:r>
        <w:rPr>
          <w:strike/>
        </w:rPr>
        <w:t>If a Triggering Event occurs, the Notifying Party may (at its election) set off any or all amounts which the Affected Party owes to the Notifying Party or it</w:t>
      </w:r>
      <w:r>
        <w:rPr>
          <w:b/>
          <w:strike/>
          <w:color w:val="FF0000"/>
        </w:rPr>
        <w:t xml:space="preserve">s </w:t>
      </w:r>
      <w:r>
        <w:rPr>
          <w:strike/>
        </w:rPr>
        <w:t>Affiliates (under this Agreement or otherwise) against any or all amounts which the Notifying Party owes to the Affected Party (either under this Agreement or otherwise</w:t>
      </w:r>
      <w:r>
        <w:rPr/>
        <w:t xml:space="preserve">).  </w:t>
      </w:r>
    </w:p>
    <w:p>
      <w:pPr>
        <w:pStyle w:val="Normal"/>
        <w:rPr/>
      </w:pPr>
      <w:r>
        <w:rPr/>
      </w:r>
    </w:p>
    <w:p>
      <w:pPr>
        <w:pStyle w:val="Normal"/>
        <w:rPr/>
      </w:pPr>
      <w:r>
        <w:rPr/>
        <w:t xml:space="preserve">We would prefer that any set-offs be limited to the agreement in question.  </w:t>
      </w:r>
    </w:p>
    <w:p>
      <w:pPr>
        <w:pStyle w:val="Normal"/>
        <w:rPr/>
      </w:pPr>
      <w:r>
        <w:rPr/>
      </w:r>
    </w:p>
    <w:p>
      <w:pPr>
        <w:pStyle w:val="Heading1"/>
        <w:ind w:hanging="0" w:start="0"/>
        <w:rPr/>
      </w:pPr>
      <w:r>
        <w:rPr/>
        <w:t>Article 4.2</w:t>
      </w:r>
      <w:r>
        <w:rPr>
          <w:u w:val="none"/>
        </w:rPr>
        <w:t xml:space="preserve"> </w:t>
      </w:r>
    </w:p>
    <w:p>
      <w:pPr>
        <w:pStyle w:val="Normal"/>
        <w:rPr>
          <w:u w:val="none"/>
        </w:rPr>
      </w:pPr>
      <w:r>
        <w:rPr>
          <w:u w:val="none"/>
        </w:rPr>
      </w:r>
    </w:p>
    <w:p>
      <w:pPr>
        <w:pStyle w:val="Normal"/>
        <w:rPr/>
      </w:pPr>
      <w:r>
        <w:rPr/>
        <w:t xml:space="preserve">Amend the clause on Line 26 beginning with “…(vii) the occurrence of a Material Adverse Change of the Affected party; provided, such Material Adverse Change shall not be considered if the Affected Party establishes, and maintains throughout the </w:t>
      </w:r>
      <w:r>
        <w:rPr>
          <w:strike/>
        </w:rPr>
        <w:t>term</w:t>
      </w:r>
      <w:r>
        <w:rPr/>
        <w:t xml:space="preserve"> </w:t>
      </w:r>
      <w:r>
        <w:rPr>
          <w:b/>
          <w:color w:val="FF0000"/>
        </w:rPr>
        <w:t xml:space="preserve">occurrence of the Material Adverse Change </w:t>
      </w:r>
      <w:r>
        <w:rPr/>
        <w:t xml:space="preserve">hereof, a Letter of Credit (naming the Notifying Party as the beneficiary) in an amount equal to the </w:t>
      </w:r>
      <w:r>
        <w:rPr>
          <w:u w:val="single"/>
        </w:rPr>
        <w:t>sum</w:t>
      </w:r>
      <w:r>
        <w:rPr/>
        <w:t xml:space="preserve"> of (in each case rounding upwards for </w:t>
      </w:r>
      <w:r>
        <w:rPr>
          <w:u w:val="single"/>
        </w:rPr>
        <w:t>any</w:t>
      </w:r>
      <w:r>
        <w:rPr/>
        <w:t xml:space="preserve"> fractional amount to the next </w:t>
      </w:r>
      <w:r>
        <w:rPr>
          <w:strike/>
        </w:rPr>
        <w:t>$250,000</w:t>
      </w:r>
      <w:r>
        <w:rPr/>
        <w:t xml:space="preserve"> </w:t>
      </w:r>
      <w:r>
        <w:rPr>
          <w:b/>
          <w:color w:val="FF0000"/>
        </w:rPr>
        <w:t xml:space="preserve">$100,000 </w:t>
      </w:r>
      <w:r>
        <w:rPr/>
        <w:t xml:space="preserve">… (ix) with respect to Company, at any time, Company’s Guarantor shall have defaulted on its indebtedness to third parties resulting in an acceleration of obligations of Company’s Guarantor in excess of $100,000, or with respect to Customer , at any time, Customer shall have defaulted on its indebtedness </w:t>
      </w:r>
      <w:r>
        <w:rPr>
          <w:strike/>
        </w:rPr>
        <w:t>to third parties</w:t>
      </w:r>
      <w:r>
        <w:rPr/>
        <w:t xml:space="preserve"> </w:t>
      </w:r>
      <w:r>
        <w:rPr>
          <w:b/>
          <w:color w:val="FF0000"/>
        </w:rPr>
        <w:t>with respect to borrowed money</w:t>
      </w:r>
      <w:r>
        <w:rPr/>
        <w:t xml:space="preserve">, resulting in an acceleration of obligations of Customer in excess of </w:t>
      </w:r>
      <w:r>
        <w:rPr>
          <w:strike/>
        </w:rPr>
        <w:t>$1,000,000</w:t>
      </w:r>
      <w:r>
        <w:rPr/>
        <w:t xml:space="preserve"> </w:t>
      </w:r>
      <w:r>
        <w:rPr>
          <w:b/>
          <w:color w:val="FF0000"/>
        </w:rPr>
        <w:t>$2,000,000</w:t>
      </w:r>
      <w:r>
        <w:rPr/>
        <w:t>…”</w:t>
      </w:r>
    </w:p>
    <w:p>
      <w:pPr>
        <w:pStyle w:val="Normal"/>
        <w:rPr/>
      </w:pPr>
      <w:r>
        <w:rPr/>
      </w:r>
    </w:p>
    <w:p>
      <w:pPr>
        <w:pStyle w:val="Heading1"/>
        <w:ind w:hanging="0" w:start="0"/>
        <w:rPr/>
      </w:pPr>
      <w:r>
        <w:rPr/>
        <w:t>Article 4.6</w:t>
      </w:r>
    </w:p>
    <w:p>
      <w:pPr>
        <w:pStyle w:val="Normal"/>
        <w:rPr/>
      </w:pPr>
      <w:r>
        <w:rPr/>
      </w:r>
    </w:p>
    <w:p>
      <w:pPr>
        <w:pStyle w:val="Normal"/>
        <w:rPr/>
      </w:pPr>
      <w:r>
        <w:rPr/>
        <w:t xml:space="preserve">Please provide clarification as to how this clause would impact our line of credit with Enron North America Corp.  </w:t>
      </w:r>
    </w:p>
    <w:p>
      <w:pPr>
        <w:pStyle w:val="Normal"/>
        <w:rPr/>
      </w:pPr>
      <w:r>
        <w:rPr/>
      </w:r>
    </w:p>
    <w:p>
      <w:pPr>
        <w:pStyle w:val="Heading1"/>
        <w:ind w:hanging="0" w:start="0"/>
        <w:rPr/>
      </w:pPr>
      <w:r>
        <w:rPr/>
        <w:t>Article 5</w:t>
      </w:r>
    </w:p>
    <w:p>
      <w:pPr>
        <w:pStyle w:val="Normal"/>
        <w:rPr/>
      </w:pPr>
      <w:r>
        <w:rPr/>
      </w:r>
    </w:p>
    <w:p>
      <w:pPr>
        <w:pStyle w:val="Normal"/>
        <w:rPr/>
      </w:pPr>
      <w:r>
        <w:rPr/>
        <w:t xml:space="preserve">Amend the clause starting on Line 10 beginning with “…and during the continuance of the </w:t>
      </w:r>
      <w:r>
        <w:rPr>
          <w:u w:val="single"/>
        </w:rPr>
        <w:t>Force Majeure</w:t>
      </w:r>
      <w:r>
        <w:rPr>
          <w:b/>
          <w:color w:val="FF0000"/>
        </w:rPr>
        <w:t>.</w:t>
      </w:r>
      <w:r>
        <w:rPr/>
        <w:t xml:space="preserve"> </w:t>
      </w:r>
      <w:r>
        <w:rPr>
          <w:strike/>
        </w:rPr>
        <w:t>for a period of up to 60 Days in the aggregate during any 12 Month period, but for no longer period</w:t>
      </w:r>
      <w:r>
        <w:rPr/>
        <w:t xml:space="preserve">.  The Party receiving notice of </w:t>
      </w:r>
      <w:r>
        <w:rPr>
          <w:u w:val="single"/>
        </w:rPr>
        <w:t>Force Majeure</w:t>
      </w:r>
      <w:r>
        <w:rPr/>
        <w:t xml:space="preserve"> may immediately take such action as it deems necessary at its expense for the entire </w:t>
      </w:r>
      <w:r>
        <w:rPr>
          <w:strike/>
        </w:rPr>
        <w:t>60 Day</w:t>
      </w:r>
      <w:r>
        <w:rPr/>
        <w:t xml:space="preserve"> period </w:t>
      </w:r>
      <w:r>
        <w:rPr>
          <w:strike/>
        </w:rPr>
        <w:t>for any part thereof</w:t>
      </w:r>
      <w:r>
        <w:rPr/>
        <w:t xml:space="preserve">.  </w:t>
      </w:r>
      <w:r>
        <w:rPr>
          <w:strike/>
        </w:rPr>
        <w:t xml:space="preserve">The parties expressly agree that upon the expiration of the 60 Day period </w:t>
      </w:r>
      <w:r>
        <w:rPr>
          <w:strike/>
          <w:u w:val="single"/>
        </w:rPr>
        <w:t>Force Majeure</w:t>
      </w:r>
      <w:r>
        <w:rPr>
          <w:strike/>
        </w:rPr>
        <w:t xml:space="preserve"> shall no longer apply to the obligations hereunder and both Buyer and Seller shall be obligated to perform</w:t>
      </w:r>
      <w:r>
        <w:rPr/>
        <w:t>.”</w:t>
      </w:r>
    </w:p>
    <w:p>
      <w:pPr>
        <w:pStyle w:val="Normal"/>
        <w:rPr/>
      </w:pPr>
      <w:r>
        <w:rPr/>
      </w:r>
    </w:p>
    <w:p>
      <w:pPr>
        <w:pStyle w:val="Normal"/>
        <w:rPr/>
      </w:pPr>
      <w:r>
        <w:rPr/>
        <w:t xml:space="preserve">It is unconscionable to attempt to limit </w:t>
      </w:r>
      <w:r>
        <w:rPr>
          <w:i/>
        </w:rPr>
        <w:t>force majeure</w:t>
      </w:r>
      <w:r>
        <w:rPr/>
        <w:t xml:space="preserve"> to a total of 60 days within one 12-month period.  The purpose for a </w:t>
      </w:r>
      <w:r>
        <w:rPr>
          <w:i/>
        </w:rPr>
        <w:t>force majeure</w:t>
      </w:r>
      <w:r>
        <w:rPr/>
        <w:t xml:space="preserve"> clause is to not penalize affected parties for events outside of their control – be they 3-day events, 3-month events, or a series of events cumulatively spanning an excess of 60 days.  We strongly request that the time limits be removed.  </w:t>
      </w:r>
    </w:p>
    <w:p>
      <w:pPr>
        <w:pStyle w:val="Normal"/>
        <w:rPr/>
      </w:pPr>
      <w:r>
        <w:rPr/>
      </w:r>
      <w:r>
        <w:br w:type="page"/>
      </w:r>
    </w:p>
    <w:p>
      <w:pPr>
        <w:pStyle w:val="Heading1"/>
        <w:ind w:hanging="0" w:start="0"/>
        <w:rPr/>
      </w:pPr>
      <w:r>
        <w:rPr/>
        <w:t>Article 8.2</w:t>
      </w:r>
    </w:p>
    <w:p>
      <w:pPr>
        <w:pStyle w:val="Normal"/>
        <w:rPr/>
      </w:pPr>
      <w:r>
        <w:rPr/>
      </w:r>
    </w:p>
    <w:p>
      <w:pPr>
        <w:pStyle w:val="Normal"/>
        <w:rPr/>
      </w:pPr>
      <w:r>
        <w:rPr/>
        <w:t>“</w:t>
      </w:r>
      <w:r>
        <w:rPr/>
        <w:t xml:space="preserve">This Agreement, including without limitation, each indemnification, shall inure to and bind the permitted successors and assigns of the Parties; provided, neither Party shall transfer this Agreement without the prior written approval of the other Party which may be </w:t>
      </w:r>
      <w:r>
        <w:rPr>
          <w:b/>
          <w:color w:val="FF0000"/>
        </w:rPr>
        <w:t xml:space="preserve">reasonably </w:t>
      </w:r>
      <w:r>
        <w:rPr/>
        <w:t xml:space="preserve">withheld </w:t>
      </w:r>
      <w:r>
        <w:rPr>
          <w:strike/>
        </w:rPr>
        <w:t>entirely</w:t>
      </w:r>
      <w:r>
        <w:rPr/>
        <w:t xml:space="preserve"> at the option of such Party; provided further, either Party may, </w:t>
      </w:r>
      <w:r>
        <w:rPr>
          <w:b/>
          <w:color w:val="FF0000"/>
        </w:rPr>
        <w:t xml:space="preserve">upon providing written notice to the other party but </w:t>
      </w:r>
      <w:r>
        <w:rPr/>
        <w:t>without</w:t>
      </w:r>
      <w:r>
        <w:rPr>
          <w:b/>
          <w:color w:val="FF0000"/>
        </w:rPr>
        <w:t xml:space="preserve"> requiring </w:t>
      </w:r>
      <w:r>
        <w:rPr/>
        <w:t>the consent of the other Party (and without reliving itself from liability hereunder), (i) transfer, sell, pledge, encumber or assign this Agreement or the accounts, revenues or proceeds hereof in connection with any financing or other financial arrangements</w:t>
      </w:r>
      <w:r>
        <w:rPr>
          <w:b/>
          <w:color w:val="FF0000"/>
        </w:rPr>
        <w:t>.</w:t>
      </w:r>
      <w:r>
        <w:rPr>
          <w:strike/>
        </w:rPr>
        <w:t xml:space="preserve">  (ii) transfer or assign this Agreement to any Affiliate by assignment, merger or otherwise</w:t>
      </w:r>
      <w:r>
        <w:rPr>
          <w:b/>
          <w:color w:val="FF0000"/>
        </w:rPr>
        <w:t xml:space="preserve"> </w:t>
      </w:r>
      <w:r>
        <w:rPr>
          <w:strike/>
        </w:rPr>
        <w:t>or (iii) transfer or assign this Agreement to any person or entity succeeding to all or substantially all the assets of such Party.</w:t>
      </w:r>
      <w:r>
        <w:rPr/>
        <w:t xml:space="preserve"> Any Party’s transfer in violation of this </w:t>
      </w:r>
      <w:r>
        <w:rPr>
          <w:u w:val="single"/>
        </w:rPr>
        <w:t>Section 8.2</w:t>
      </w:r>
      <w:r>
        <w:rPr/>
        <w:t xml:space="preserve"> shall be void.”</w:t>
      </w:r>
      <w:r>
        <w:rPr>
          <w:color w:val="FF0000"/>
        </w:rPr>
        <w:t xml:space="preserve">   </w:t>
      </w:r>
      <w:r>
        <w:rPr>
          <w:vanish/>
          <w:color w:val="00FFFF"/>
        </w:rPr>
        <w:t>If they won’t agree to ii or iii, we want some form of a credit guarantee.  Expecially for ii.</w:t>
      </w:r>
    </w:p>
    <w:p>
      <w:pPr>
        <w:pStyle w:val="Normal"/>
        <w:rPr>
          <w:vanish/>
          <w:color w:val="00FFFF"/>
        </w:rPr>
      </w:pPr>
      <w:r>
        <w:rPr>
          <w:vanish/>
          <w:color w:val="00FFFF"/>
        </w:rPr>
      </w:r>
    </w:p>
    <w:p>
      <w:pPr>
        <w:pStyle w:val="Normal"/>
        <w:rPr/>
      </w:pPr>
      <w:r>
        <w:rPr/>
      </w:r>
    </w:p>
    <w:p>
      <w:pPr>
        <w:pStyle w:val="Normal"/>
        <w:rPr/>
      </w:pPr>
      <w:r>
        <w:rPr/>
        <w:t xml:space="preserve">We have strong reservations about permitting a company to engage in the types of transfers mentioned in subparagraphs (ii) and (iii) without obtaining prior consent in light of the potential that such transfer, assignment or merger could result in a corporate relationship being transferred from an adequately-financed entity to an under-financed entity.  </w:t>
      </w:r>
    </w:p>
    <w:p>
      <w:pPr>
        <w:pStyle w:val="Normal"/>
        <w:rPr/>
      </w:pPr>
      <w:r>
        <w:rPr/>
      </w:r>
    </w:p>
    <w:p>
      <w:pPr>
        <w:pStyle w:val="Normal"/>
        <w:rPr/>
      </w:pPr>
      <w:r>
        <w:rPr/>
      </w:r>
    </w:p>
    <w:p>
      <w:pPr>
        <w:pStyle w:val="Normal"/>
        <w:rPr>
          <w:u w:val="single"/>
        </w:rPr>
      </w:pPr>
      <w:r>
        <w:rPr>
          <w:u w:val="single"/>
        </w:rPr>
        <w:t>Article 8.3</w:t>
      </w:r>
    </w:p>
    <w:p>
      <w:pPr>
        <w:pStyle w:val="Normal"/>
        <w:rPr>
          <w:u w:val="single"/>
        </w:rPr>
      </w:pPr>
      <w:r>
        <w:rPr>
          <w:u w:val="single"/>
        </w:rPr>
      </w:r>
    </w:p>
    <w:p>
      <w:pPr>
        <w:pStyle w:val="Normal"/>
        <w:rPr/>
      </w:pPr>
      <w:r>
        <w:rPr/>
        <w:t xml:space="preserve">Please amend Line 16 starting with “NEITHER PARTY SHALL BE LIABLE FOR CONSEQUENTIAL, </w:t>
      </w:r>
      <w:r>
        <w:rPr>
          <w:b/>
          <w:color w:val="FF0000"/>
        </w:rPr>
        <w:t>SPECIAL</w:t>
      </w:r>
      <w:r>
        <w:rPr>
          <w:color w:val="FF0000"/>
        </w:rPr>
        <w:t xml:space="preserve">, </w:t>
      </w:r>
      <w:r>
        <w:rPr/>
        <w:t>INCIDENTAL, PUNITIVE, EXEMPLARY OR INDIRECT DAMAGES…”</w:t>
      </w:r>
    </w:p>
    <w:p>
      <w:pPr>
        <w:pStyle w:val="Normal"/>
        <w:rPr/>
      </w:pPr>
      <w:r>
        <w:rPr/>
      </w:r>
    </w:p>
    <w:p>
      <w:pPr>
        <w:pStyle w:val="Normal"/>
        <w:rPr/>
      </w:pPr>
      <w:r>
        <w:rPr/>
      </w:r>
    </w:p>
    <w:p>
      <w:pPr>
        <w:pStyle w:val="Heading2"/>
        <w:ind w:hanging="0" w:start="0"/>
        <w:rPr/>
      </w:pPr>
      <w:r>
        <w:rPr/>
        <w:t>Appendix “1”</w:t>
      </w:r>
    </w:p>
    <w:p>
      <w:pPr>
        <w:pStyle w:val="Normal"/>
        <w:jc w:val="center"/>
        <w:rPr/>
      </w:pPr>
      <w:r>
        <w:rPr/>
      </w:r>
    </w:p>
    <w:p>
      <w:pPr>
        <w:pStyle w:val="Normal"/>
        <w:rPr/>
      </w:pPr>
      <w:r>
        <w:rPr/>
        <w:t>Please amend the usage and definitions as indicated below.</w:t>
      </w:r>
    </w:p>
    <w:p>
      <w:pPr>
        <w:pStyle w:val="Normal"/>
        <w:rPr/>
      </w:pPr>
      <w:r>
        <w:rPr/>
      </w:r>
    </w:p>
    <w:p>
      <w:pPr>
        <w:pStyle w:val="Normal"/>
        <w:rPr/>
      </w:pPr>
      <w:r>
        <w:rPr/>
      </w:r>
    </w:p>
    <w:p>
      <w:pPr>
        <w:pStyle w:val="Normal"/>
        <w:rPr/>
      </w:pPr>
      <w:r>
        <w:rPr/>
        <w:t>“</w:t>
      </w:r>
      <w:r>
        <w:rPr>
          <w:b/>
        </w:rPr>
        <w:t>Confirm Deadline</w:t>
      </w:r>
      <w:r>
        <w:rPr/>
        <w:t xml:space="preserve">” means </w:t>
      </w:r>
      <w:r>
        <w:rPr>
          <w:strike/>
        </w:rPr>
        <w:t>24 hours</w:t>
      </w:r>
      <w:r>
        <w:rPr/>
        <w:t xml:space="preserve"> </w:t>
      </w:r>
      <w:r>
        <w:rPr>
          <w:b/>
          <w:color w:val="FF0000"/>
        </w:rPr>
        <w:t>2 business days</w:t>
      </w:r>
      <w:r>
        <w:rPr/>
        <w:t xml:space="preserve"> after a Party receives a Confirmation…”</w:t>
      </w:r>
    </w:p>
    <w:p>
      <w:pPr>
        <w:pStyle w:val="Normal"/>
        <w:rPr/>
      </w:pPr>
      <w:r>
        <w:rPr/>
      </w:r>
    </w:p>
    <w:p>
      <w:pPr>
        <w:pStyle w:val="Normal"/>
        <w:rPr/>
      </w:pPr>
      <w:r>
        <w:rPr/>
      </w:r>
    </w:p>
    <w:p>
      <w:pPr>
        <w:pStyle w:val="Normal"/>
        <w:rPr/>
      </w:pPr>
      <w:r>
        <w:rPr/>
        <w:t xml:space="preserve">Line 12 of </w:t>
      </w:r>
      <w:r>
        <w:rPr>
          <w:b/>
        </w:rPr>
        <w:t>Arbitration  Disputes to be Arbitrated</w:t>
      </w:r>
      <w:r>
        <w:rPr/>
        <w:t xml:space="preserve">. Beginning with “state court.  The arbitration proceeding shall be conducted in </w:t>
      </w:r>
      <w:r>
        <w:rPr>
          <w:strike/>
        </w:rPr>
        <w:t xml:space="preserve">Houston, Texas, or other </w:t>
      </w:r>
      <w:r>
        <w:rPr>
          <w:b/>
          <w:color w:val="FF0000"/>
        </w:rPr>
        <w:t xml:space="preserve"> a </w:t>
      </w:r>
      <w:r>
        <w:rPr/>
        <w:t>location mutually agreed upon by the Parties.”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jc w:val="center"/>
      <w:outlineLvl w:val="1"/>
    </w:pPr>
    <w:rPr>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2001-02-21T20:03:00Z</dcterms:created>
  <dc:creator>MARKWEST</dc:creator>
  <dc:description/>
  <dc:language>en-CA</dc:language>
  <cp:lastModifiedBy>MARKWEST</cp:lastModifiedBy>
  <cp:lastPrinted>2001-02-23T11:09:00Z</cp:lastPrinted>
  <dcterms:modified xsi:type="dcterms:W3CDTF">2001-02-23T16:48:00Z</dcterms:modified>
  <cp:revision>10</cp:revision>
  <dc:subject/>
  <dc:title>Proposed revisions to Enron North America Corp’s Enfolio Master Firm Purchase/Sale Agreement</dc:title>
</cp:coreProperties>
</file>