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b/>
          <w:color w:val="000000"/>
          <w:u w:val="single"/>
        </w:rPr>
      </w:pPr>
      <w:r>
        <w:rPr>
          <w:b/>
          <w:color w:val="000000"/>
          <w:u w:val="single"/>
        </w:rPr>
        <w:t>INTERCONNECTION FACILITIES STUDY REPORT</w:t>
      </w:r>
    </w:p>
    <w:p>
      <w:pPr>
        <w:pStyle w:val="BodyText3"/>
        <w:rPr>
          <w:b/>
          <w:color w:val="000000"/>
          <w:u w:val="single"/>
        </w:rPr>
      </w:pPr>
      <w:r>
        <w:rPr>
          <w:b/>
          <w:color w:val="000000"/>
          <w:u w:val="single"/>
        </w:rPr>
        <w:t>ENRON MIDWAY POWER PROJECT (“EMPP”)</w:t>
      </w:r>
    </w:p>
    <w:p>
      <w:pPr>
        <w:pStyle w:val="Heading"/>
        <w:rPr>
          <w:b w:val="false"/>
          <w:color w:val="000000"/>
          <w:u w:val="single"/>
        </w:rPr>
      </w:pPr>
      <w:r>
        <w:rPr>
          <w:b w:val="false"/>
          <w:color w:val="000000"/>
          <w:u w:val="single"/>
        </w:rPr>
      </w:r>
    </w:p>
    <w:p>
      <w:pPr>
        <w:pStyle w:val="Normal"/>
        <w:rPr>
          <w:sz w:val="24"/>
        </w:rPr>
      </w:pPr>
      <w:r>
        <w:rPr>
          <w:sz w:val="24"/>
        </w:rPr>
        <w:t>FPL has completed the Facilities Study portion of the Interconnection Study Agreement between Florida Power and Light (“FPL”) and Enron Midway Power Project (“EMPP”).  In summary, the following are the facilities, technical requirements, costs, and schedules for implementation in order to interconnect the EMPP as discussed in the Interconnection Study:</w:t>
      </w:r>
    </w:p>
    <w:p>
      <w:pPr>
        <w:pStyle w:val="Normal"/>
        <w:rPr>
          <w:sz w:val="24"/>
        </w:rPr>
      </w:pPr>
      <w:r>
        <w:rPr>
          <w:sz w:val="24"/>
        </w:rPr>
      </w:r>
    </w:p>
    <w:p>
      <w:pPr>
        <w:pStyle w:val="Normal"/>
        <w:numPr>
          <w:ilvl w:val="0"/>
          <w:numId w:val="3"/>
        </w:numPr>
        <w:rPr>
          <w:b/>
          <w:u w:val="single"/>
        </w:rPr>
      </w:pPr>
      <w:r>
        <w:rPr>
          <w:b/>
          <w:sz w:val="24"/>
          <w:u w:val="single"/>
        </w:rPr>
        <w:t>SCOPE OF WORK (SUBSTATION AND PROTECTION &amp; CONTROL)</w:t>
      </w:r>
    </w:p>
    <w:p>
      <w:pPr>
        <w:pStyle w:val="Normal"/>
        <w:rPr>
          <w:b/>
          <w:sz w:val="24"/>
          <w:u w:val="single"/>
        </w:rPr>
      </w:pPr>
      <w:r>
        <w:rPr>
          <w:b/>
          <w:sz w:val="24"/>
          <w:u w:val="single"/>
        </w:rPr>
      </w:r>
    </w:p>
    <w:p>
      <w:pPr>
        <w:pStyle w:val="Normal"/>
        <w:numPr>
          <w:ilvl w:val="1"/>
          <w:numId w:val="3"/>
        </w:numPr>
        <w:rPr/>
      </w:pPr>
      <w:r>
        <w:rPr>
          <w:b/>
          <w:sz w:val="24"/>
          <w:u w:val="single"/>
        </w:rPr>
        <w:t>Midway Substation</w:t>
      </w:r>
    </w:p>
    <w:p>
      <w:pPr>
        <w:pStyle w:val="Normal"/>
        <w:ind w:start="360" w:end="0"/>
        <w:rPr>
          <w:sz w:val="24"/>
        </w:rPr>
      </w:pPr>
      <w:r>
        <w:rPr>
          <w:sz w:val="24"/>
        </w:rPr>
        <w:t>Replace line relays on the Midway-Poinsett 500kV line including:</w:t>
      </w:r>
    </w:p>
    <w:p>
      <w:pPr>
        <w:pStyle w:val="Normal"/>
        <w:numPr>
          <w:ilvl w:val="2"/>
          <w:numId w:val="3"/>
        </w:numPr>
        <w:rPr/>
      </w:pPr>
      <w:r>
        <w:rPr>
          <w:sz w:val="24"/>
        </w:rPr>
        <w:t>Installation of a new combined primary and secondary line relay panel</w:t>
      </w:r>
    </w:p>
    <w:p>
      <w:pPr>
        <w:pStyle w:val="Normal"/>
        <w:numPr>
          <w:ilvl w:val="2"/>
          <w:numId w:val="3"/>
        </w:numPr>
        <w:rPr/>
      </w:pPr>
      <w:r>
        <w:rPr>
          <w:sz w:val="24"/>
        </w:rPr>
        <w:t>Removal of the separate, existing primary and secondary line relay panels</w:t>
      </w:r>
    </w:p>
    <w:p>
      <w:pPr>
        <w:pStyle w:val="Normal"/>
        <w:numPr>
          <w:ilvl w:val="2"/>
          <w:numId w:val="3"/>
        </w:numPr>
        <w:rPr/>
      </w:pPr>
      <w:r>
        <w:rPr>
          <w:sz w:val="24"/>
        </w:rPr>
        <w:t>Removal of the carrier system at the Midway end of the Midway-Poinsett 500kV line</w:t>
      </w:r>
    </w:p>
    <w:p>
      <w:pPr>
        <w:pStyle w:val="Normal"/>
        <w:numPr>
          <w:ilvl w:val="2"/>
          <w:numId w:val="3"/>
        </w:numPr>
        <w:rPr/>
      </w:pPr>
      <w:r>
        <w:rPr>
          <w:sz w:val="24"/>
        </w:rPr>
        <w:t>Installation of fiber optic cable for the Midway-EMPP line protection</w:t>
      </w:r>
    </w:p>
    <w:p>
      <w:pPr>
        <w:pStyle w:val="Normal"/>
        <w:ind w:start="720" w:end="0"/>
        <w:rPr/>
      </w:pPr>
      <w:r>
        <w:rPr/>
      </w:r>
    </w:p>
    <w:p>
      <w:pPr>
        <w:pStyle w:val="Normal"/>
        <w:numPr>
          <w:ilvl w:val="1"/>
          <w:numId w:val="3"/>
        </w:numPr>
        <w:rPr/>
      </w:pPr>
      <w:r>
        <w:rPr>
          <w:b/>
          <w:sz w:val="24"/>
          <w:u w:val="single"/>
        </w:rPr>
        <w:t>Poinsett Substation</w:t>
      </w:r>
    </w:p>
    <w:p>
      <w:pPr>
        <w:pStyle w:val="Normal"/>
        <w:ind w:start="360" w:end="0"/>
        <w:rPr>
          <w:sz w:val="24"/>
        </w:rPr>
      </w:pPr>
      <w:r>
        <w:rPr>
          <w:sz w:val="24"/>
        </w:rPr>
        <w:t>Replace line relays on the Midway-Poinsett 500kV line including:</w:t>
      </w:r>
    </w:p>
    <w:p>
      <w:pPr>
        <w:pStyle w:val="Normal"/>
        <w:numPr>
          <w:ilvl w:val="2"/>
          <w:numId w:val="3"/>
        </w:numPr>
        <w:rPr/>
      </w:pPr>
      <w:r>
        <w:rPr>
          <w:sz w:val="24"/>
        </w:rPr>
        <w:t>Installation of a new combined primary and secondary line relay panel</w:t>
      </w:r>
    </w:p>
    <w:p>
      <w:pPr>
        <w:pStyle w:val="Normal"/>
        <w:numPr>
          <w:ilvl w:val="2"/>
          <w:numId w:val="3"/>
        </w:numPr>
        <w:rPr/>
      </w:pPr>
      <w:r>
        <w:rPr>
          <w:sz w:val="24"/>
        </w:rPr>
        <w:t>Removal of the separate, existing primary and secondary line relay panels</w:t>
      </w:r>
    </w:p>
    <w:p>
      <w:pPr>
        <w:pStyle w:val="Normal"/>
        <w:ind w:start="720" w:end="0"/>
        <w:rPr/>
      </w:pPr>
      <w:r>
        <w:rPr/>
      </w:r>
    </w:p>
    <w:p>
      <w:pPr>
        <w:pStyle w:val="Normal"/>
        <w:numPr>
          <w:ilvl w:val="1"/>
          <w:numId w:val="3"/>
        </w:numPr>
        <w:rPr/>
      </w:pPr>
      <w:r>
        <w:rPr>
          <w:b/>
          <w:sz w:val="24"/>
          <w:u w:val="single"/>
        </w:rPr>
        <w:t>EMPP Switchyard</w:t>
      </w:r>
    </w:p>
    <w:p>
      <w:pPr>
        <w:pStyle w:val="Normal"/>
        <w:ind w:start="360" w:end="0"/>
        <w:rPr>
          <w:sz w:val="24"/>
        </w:rPr>
      </w:pPr>
      <w:r>
        <w:rPr>
          <w:sz w:val="24"/>
        </w:rPr>
        <w:t>Add metering and RTU including:</w:t>
      </w:r>
    </w:p>
    <w:p>
      <w:pPr>
        <w:pStyle w:val="Normal"/>
        <w:numPr>
          <w:ilvl w:val="2"/>
          <w:numId w:val="3"/>
        </w:numPr>
        <w:rPr/>
      </w:pPr>
      <w:r>
        <w:rPr>
          <w:sz w:val="24"/>
        </w:rPr>
        <w:t>Add six (6) 500kV metering-accuracy Current Transformers and associated structures/foundations and meters/transducers</w:t>
      </w:r>
    </w:p>
    <w:p>
      <w:pPr>
        <w:pStyle w:val="Normal"/>
        <w:numPr>
          <w:ilvl w:val="2"/>
          <w:numId w:val="3"/>
        </w:numPr>
        <w:rPr/>
      </w:pPr>
      <w:r>
        <w:rPr>
          <w:sz w:val="24"/>
        </w:rPr>
        <w:t>Add six (6) 500kV metering-accuracy CCVT’s and associated structures/foundations</w:t>
      </w:r>
    </w:p>
    <w:p>
      <w:pPr>
        <w:pStyle w:val="Normal"/>
        <w:numPr>
          <w:ilvl w:val="2"/>
          <w:numId w:val="3"/>
        </w:numPr>
        <w:rPr/>
      </w:pPr>
      <w:r>
        <w:rPr>
          <w:sz w:val="24"/>
        </w:rPr>
        <w:t>Add one (1) Remote Terminal Unit (RTU)</w:t>
      </w:r>
    </w:p>
    <w:p>
      <w:pPr>
        <w:pStyle w:val="Normal"/>
        <w:numPr>
          <w:ilvl w:val="2"/>
          <w:numId w:val="3"/>
        </w:numPr>
        <w:rPr/>
      </w:pPr>
      <w:r>
        <w:rPr>
          <w:sz w:val="24"/>
        </w:rPr>
        <w:t xml:space="preserve">Add two (2) metering panels </w:t>
      </w:r>
    </w:p>
    <w:p>
      <w:pPr>
        <w:pStyle w:val="Normal"/>
        <w:ind w:start="360" w:end="0"/>
        <w:rPr>
          <w:sz w:val="24"/>
        </w:rPr>
      </w:pPr>
      <w:r>
        <w:rPr>
          <w:sz w:val="24"/>
        </w:rPr>
        <w:t>The reliability of the switchyard design and installation, as mentioned in the Feasibility Study, still apply.  Station service for the EMPP switchyard equipment will be supplied from the EMPP plant facility.  The design and construction of the EMPP facility and switchyard is the responsibility of EMPP.  This design needs to include the necessary room for the above equipment.</w:t>
      </w:r>
    </w:p>
    <w:p>
      <w:pPr>
        <w:pStyle w:val="Normal"/>
        <w:ind w:start="720" w:end="0"/>
        <w:rPr/>
      </w:pPr>
      <w:r>
        <w:rPr/>
      </w:r>
    </w:p>
    <w:p>
      <w:pPr>
        <w:pStyle w:val="Heading9"/>
        <w:numPr>
          <w:ilvl w:val="1"/>
          <w:numId w:val="3"/>
        </w:numPr>
        <w:ind w:hanging="0" w:start="0"/>
        <w:rPr>
          <w:sz w:val="20"/>
          <w:u w:val="none"/>
        </w:rPr>
      </w:pPr>
      <w:r>
        <w:rPr/>
        <w:t>Martin Plant Switchyard</w:t>
      </w:r>
    </w:p>
    <w:p>
      <w:pPr>
        <w:pStyle w:val="Normal"/>
        <w:numPr>
          <w:ilvl w:val="2"/>
          <w:numId w:val="3"/>
        </w:numPr>
        <w:rPr/>
      </w:pPr>
      <w:r>
        <w:rPr>
          <w:sz w:val="24"/>
        </w:rPr>
        <w:t>Accelerate the replacement of two (2) 500kV gas circuit breakers 9W28 and 9W31.  These Mitsubishi breakers have an interrupting rating of 40kA.  After the connection of the EMPP generating facility, the available fault current exceeds 40kA.  These breakers must be replaced with 50kA breakers.  FPL will reuse these breakers elsewhere on the FPL system.  These breakers were identified for replacement in 2006, so EMPP is responsible for the acceleration of this replacement from 2006 to 2003.</w:t>
      </w:r>
    </w:p>
    <w:p>
      <w:pPr>
        <w:pStyle w:val="Normal"/>
        <w:numPr>
          <w:ilvl w:val="2"/>
          <w:numId w:val="3"/>
        </w:numPr>
        <w:rPr/>
      </w:pPr>
      <w:r>
        <w:rPr>
          <w:sz w:val="24"/>
        </w:rPr>
        <w:t>Accelerate the replacement of four (4) 500kV circuit breakers 9W58, 9W61, 9W79 and 9W108.  These breakers have an interrupting rating of 40kA.  After the connection of the EMPP generating facility, the available fault current exceeds 40kA.  These breakers were identified for replacement in 2006, so EMPP is responsible for the acceleration of this replacement from 2006 to 2004.  These breakers will be replaced with 50kA units.  FPL will reuse Mitsubishi breakers 9W58 and 9W61 elsewhere on the FPL system.  Breakers 9W79 and 9W108 will not be reused on the FPL system and will be junked.</w:t>
      </w:r>
    </w:p>
    <w:p>
      <w:pPr>
        <w:pStyle w:val="Normal"/>
        <w:ind w:start="720" w:end="0"/>
        <w:rPr/>
      </w:pPr>
      <w:r>
        <w:rPr/>
      </w:r>
    </w:p>
    <w:p>
      <w:pPr>
        <w:pStyle w:val="Heading9"/>
        <w:numPr>
          <w:ilvl w:val="1"/>
          <w:numId w:val="3"/>
        </w:numPr>
        <w:ind w:hanging="0" w:start="0"/>
        <w:rPr>
          <w:sz w:val="20"/>
          <w:u w:val="none"/>
        </w:rPr>
      </w:pPr>
      <w:r>
        <w:rPr/>
        <w:t>Ranch Substation</w:t>
      </w:r>
    </w:p>
    <w:p>
      <w:pPr>
        <w:pStyle w:val="Normal"/>
        <w:ind w:start="360" w:end="0"/>
        <w:rPr>
          <w:sz w:val="24"/>
        </w:rPr>
      </w:pPr>
      <w:r>
        <w:rPr>
          <w:sz w:val="24"/>
        </w:rPr>
        <w:t>Accelerate the replacement breakers 7W2 and 7W6.  These 138kV gas circuit breakers have an interrupting rating of 41.5kA.  After the connection of the EMPP generating facility, the available fault current exceeds this rating.  These breakers must be replaced with 50kA gas circuit breakers.  FPL will reuse these breakers elsewhere on the FPL system.  These breakers were identified for replacement in 2006, so EMPP is responsible for the acceleration of this replacement from 2006 to 2003.</w:t>
      </w:r>
    </w:p>
    <w:p>
      <w:pPr>
        <w:pStyle w:val="Normal"/>
        <w:ind w:start="360" w:end="0"/>
        <w:rPr>
          <w:sz w:val="24"/>
        </w:rPr>
      </w:pPr>
      <w:r>
        <w:rPr>
          <w:sz w:val="24"/>
        </w:rPr>
      </w:r>
    </w:p>
    <w:p>
      <w:pPr>
        <w:pStyle w:val="Heading9"/>
        <w:numPr>
          <w:ilvl w:val="1"/>
          <w:numId w:val="3"/>
        </w:numPr>
        <w:ind w:hanging="0" w:start="0"/>
        <w:rPr>
          <w:sz w:val="20"/>
          <w:u w:val="none"/>
        </w:rPr>
      </w:pPr>
      <w:r>
        <w:rPr/>
        <w:t>Broward Substation</w:t>
      </w:r>
    </w:p>
    <w:p>
      <w:pPr>
        <w:pStyle w:val="Normal"/>
        <w:ind w:start="360" w:end="0"/>
        <w:rPr>
          <w:sz w:val="24"/>
        </w:rPr>
      </w:pPr>
      <w:r>
        <w:rPr>
          <w:sz w:val="24"/>
        </w:rPr>
        <w:t>Replace Breaker 8W80.  This 230kV oil circuit breaker has an interrupting rating of 31.52kA.  After the connection of the EMPP generating facility, the available fault current exceeds this rating.  This breaker must be replaced with a 242kV, 63kA gas circuit breaker.  The existing oil circuit breaker will not be reused on the FPL system and will be junked.</w:t>
      </w:r>
    </w:p>
    <w:p>
      <w:pPr>
        <w:pStyle w:val="Normal"/>
        <w:ind w:start="360" w:end="0"/>
        <w:rPr>
          <w:sz w:val="24"/>
        </w:rPr>
      </w:pPr>
      <w:r>
        <w:rPr>
          <w:sz w:val="24"/>
        </w:rPr>
      </w:r>
    </w:p>
    <w:p>
      <w:pPr>
        <w:pStyle w:val="Heading9"/>
        <w:numPr>
          <w:ilvl w:val="1"/>
          <w:numId w:val="3"/>
        </w:numPr>
        <w:ind w:hanging="0" w:start="0"/>
        <w:rPr>
          <w:sz w:val="20"/>
          <w:u w:val="none"/>
        </w:rPr>
      </w:pPr>
      <w:r>
        <w:rPr/>
        <w:t>Crystal Substation</w:t>
      </w:r>
    </w:p>
    <w:p>
      <w:pPr>
        <w:pStyle w:val="Normal"/>
        <w:ind w:start="360" w:end="0"/>
        <w:rPr>
          <w:sz w:val="24"/>
        </w:rPr>
      </w:pPr>
      <w:r>
        <w:rPr>
          <w:sz w:val="24"/>
        </w:rPr>
        <w:t>Strengthen 138kV Bus System Due to Fault Current Forces.  A detailed bus system structural analysis was performed on the 138kV operating bus at Crystal Substation.  The existing FPL design uses a standard strength insulator.  After the addition of the EMPP generation, the structural strength of this insulator is exceeded during fault conditions.  The bus system at Crystal Substation can be brought up to FPL specifications by replacing eighteen (18) overstressed locations in the long bus spans with high strength insulators.</w:t>
      </w:r>
    </w:p>
    <w:p>
      <w:pPr>
        <w:pStyle w:val="Normal"/>
        <w:ind w:start="360" w:end="0"/>
        <w:rPr>
          <w:sz w:val="24"/>
        </w:rPr>
      </w:pPr>
      <w:r>
        <w:rPr>
          <w:sz w:val="24"/>
        </w:rPr>
      </w:r>
    </w:p>
    <w:p>
      <w:pPr>
        <w:pStyle w:val="Normal"/>
        <w:numPr>
          <w:ilvl w:val="0"/>
          <w:numId w:val="3"/>
        </w:numPr>
        <w:rPr>
          <w:b/>
        </w:rPr>
      </w:pPr>
      <w:r>
        <w:rPr>
          <w:b/>
          <w:sz w:val="24"/>
          <w:u w:val="single"/>
          <w:lang w:eastAsia="en-US"/>
        </w:rPr>
        <w:t>SCOPE OF WORK (SITING)</w:t>
      </w:r>
    </w:p>
    <w:p>
      <w:pPr>
        <w:pStyle w:val="Normal"/>
        <w:numPr>
          <w:ilvl w:val="2"/>
          <w:numId w:val="3"/>
        </w:numPr>
        <w:tabs>
          <w:tab w:val="clear" w:pos="720"/>
          <w:tab w:val="left" w:pos="900" w:leader="none"/>
        </w:tabs>
        <w:ind w:hanging="504" w:start="900" w:end="0"/>
        <w:rPr/>
      </w:pPr>
      <w:r>
        <w:rPr>
          <w:sz w:val="24"/>
        </w:rPr>
        <w:t>EMPP will do its own siting/permitting/clearing and construction work associated with their new plant, transmission substation and transmission right of way terminating at the FPL 500kV interconnection point. FPL will be responsible for any permits and easements necessary to deadend, terminate, or relocate the FPL transmission lines in and around the tie point.</w:t>
      </w:r>
    </w:p>
    <w:p>
      <w:pPr>
        <w:pStyle w:val="Normal"/>
        <w:numPr>
          <w:ilvl w:val="2"/>
          <w:numId w:val="3"/>
        </w:numPr>
        <w:tabs>
          <w:tab w:val="clear" w:pos="720"/>
          <w:tab w:val="left" w:pos="900" w:leader="none"/>
        </w:tabs>
        <w:ind w:hanging="504" w:start="900" w:end="0"/>
        <w:rPr/>
      </w:pPr>
      <w:r>
        <w:rPr>
          <w:sz w:val="24"/>
        </w:rPr>
        <w:t>An environmental audit/survey will be performed in the R/W adjacent to the tie point to determine;  (1.) if there are any threatened or endangered species, (2.) if jurisdictional wetlands exist.  If so,</w:t>
      </w:r>
      <w:r>
        <w:rPr/>
        <w:t xml:space="preserve"> </w:t>
      </w:r>
      <w:r>
        <w:rPr>
          <w:sz w:val="24"/>
        </w:rPr>
        <w:t>Siting/Permitting will submit state and federal Environmental Resource Permit applications to the following:</w:t>
      </w:r>
    </w:p>
    <w:p>
      <w:pPr>
        <w:pStyle w:val="Normal"/>
        <w:numPr>
          <w:ilvl w:val="3"/>
          <w:numId w:val="3"/>
        </w:numPr>
        <w:tabs>
          <w:tab w:val="clear" w:pos="720"/>
          <w:tab w:val="left" w:pos="1800" w:leader="none"/>
        </w:tabs>
        <w:ind w:hanging="378" w:start="1800" w:end="0"/>
        <w:rPr/>
      </w:pPr>
      <w:r>
        <w:rPr>
          <w:sz w:val="24"/>
        </w:rPr>
        <w:t>Florida Department of Environmental Protection (FDEP)</w:t>
      </w:r>
    </w:p>
    <w:p>
      <w:pPr>
        <w:pStyle w:val="Normal"/>
        <w:numPr>
          <w:ilvl w:val="3"/>
          <w:numId w:val="3"/>
        </w:numPr>
        <w:tabs>
          <w:tab w:val="clear" w:pos="720"/>
          <w:tab w:val="left" w:pos="1800" w:leader="none"/>
        </w:tabs>
        <w:ind w:hanging="378" w:start="1800" w:end="0"/>
        <w:rPr/>
      </w:pPr>
      <w:r>
        <w:rPr>
          <w:sz w:val="24"/>
        </w:rPr>
        <w:t>U.S. Army Corps of Engineers (ACOE)</w:t>
      </w:r>
    </w:p>
    <w:p>
      <w:pPr>
        <w:pStyle w:val="Normal"/>
        <w:numPr>
          <w:ilvl w:val="2"/>
          <w:numId w:val="3"/>
        </w:numPr>
        <w:tabs>
          <w:tab w:val="clear" w:pos="720"/>
          <w:tab w:val="left" w:pos="900" w:leader="none"/>
        </w:tabs>
        <w:ind w:hanging="504" w:start="900" w:end="0"/>
        <w:rPr/>
      </w:pPr>
      <w:r>
        <w:rPr>
          <w:sz w:val="24"/>
        </w:rPr>
        <w:t>Siting/Permitting would be responsible for surveying, right-of-way (R/W) parcel sketches, and associated drawing approvals in conjunction with the new 500kV line termination at the interconnection point.</w:t>
      </w:r>
    </w:p>
    <w:p>
      <w:pPr>
        <w:pStyle w:val="Normal"/>
        <w:ind w:start="396" w:end="0"/>
        <w:rPr/>
      </w:pPr>
      <w:r>
        <w:rPr/>
      </w:r>
    </w:p>
    <w:p>
      <w:pPr>
        <w:pStyle w:val="Normal"/>
        <w:keepNext w:val="true"/>
        <w:rPr>
          <w:b/>
          <w:sz w:val="24"/>
          <w:u w:val="single"/>
        </w:rPr>
      </w:pPr>
      <w:r>
        <w:rPr>
          <w:b/>
          <w:sz w:val="24"/>
          <w:u w:val="single"/>
        </w:rPr>
        <w:t>Summary of Costs - Substation, Siting, Protection &amp; Control</w:t>
      </w:r>
    </w:p>
    <w:p>
      <w:pPr>
        <w:pStyle w:val="Normal"/>
        <w:keepNext w:val="true"/>
        <w:rPr/>
      </w:pPr>
      <w:r>
        <w:rPr>
          <w:sz w:val="24"/>
        </w:rPr>
        <w:t xml:space="preserve">The total cost for Siting, permitting, engineering and construction of all Substation and Protection &amp; Control work is </w:t>
      </w:r>
      <w:r>
        <w:rPr>
          <w:b/>
          <w:sz w:val="24"/>
          <w:u w:val="single"/>
        </w:rPr>
        <w:t>$4,443,000</w:t>
      </w:r>
      <w:r>
        <w:rPr>
          <w:sz w:val="24"/>
        </w:rPr>
        <w:t>.  This cost includes installation and removals, materials, labor, vehicles and overheads (reimbursable adders).</w:t>
      </w:r>
    </w:p>
    <w:p>
      <w:pPr>
        <w:pStyle w:val="Normal"/>
        <w:rPr>
          <w:sz w:val="24"/>
        </w:rPr>
      </w:pPr>
      <w:r>
        <w:rPr>
          <w:sz w:val="24"/>
        </w:rPr>
      </w:r>
    </w:p>
    <w:p>
      <w:pPr>
        <w:pStyle w:val="Normal"/>
        <w:numPr>
          <w:ilvl w:val="0"/>
          <w:numId w:val="3"/>
        </w:numPr>
        <w:rPr>
          <w:b/>
        </w:rPr>
      </w:pPr>
      <w:r>
        <w:rPr>
          <w:b/>
          <w:sz w:val="24"/>
          <w:u w:val="single"/>
        </w:rPr>
        <w:t>SCOPE OF WORK (TRANSMISSION)</w:t>
      </w:r>
    </w:p>
    <w:p>
      <w:pPr>
        <w:pStyle w:val="BodyText"/>
        <w:rPr/>
      </w:pPr>
      <w:r>
        <w:rPr/>
        <w:t>The Midway – Poinsett 500 kV Line was permitted for construction under a Developmental Regional Impact (DRI).  This new transmission work may require that the DRI be modified.  The modification would be expected to be routine unless opposition occurs.  The cost of this modification is unknown and will be dependent upon the appropriate jurisdiction review.  The cost is not included in this study but will be forwarded should a DRI modification be required.</w:t>
      </w:r>
    </w:p>
    <w:p>
      <w:pPr>
        <w:pStyle w:val="Normal"/>
        <w:rPr>
          <w:sz w:val="24"/>
        </w:rPr>
      </w:pPr>
      <w:r>
        <w:rPr>
          <w:sz w:val="24"/>
        </w:rPr>
      </w:r>
    </w:p>
    <w:p>
      <w:pPr>
        <w:pStyle w:val="Normal"/>
        <w:numPr>
          <w:ilvl w:val="1"/>
          <w:numId w:val="3"/>
        </w:numPr>
        <w:rPr/>
      </w:pPr>
      <w:r>
        <w:rPr>
          <w:b/>
          <w:sz w:val="24"/>
          <w:u w:val="single"/>
        </w:rPr>
        <w:t>Construct Midway - EMPP 500 kV Line</w:t>
      </w:r>
      <w:r>
        <w:rPr>
          <w:sz w:val="24"/>
        </w:rPr>
        <w:t xml:space="preserve"> – FPL will remove and dispose of 500kV structure 11Z377.  FPL will install one 3-pole dead end structure within the existing R/W of the Midway-Poinsett 500 kV Line.  This structure will consist of three concrete poles with three existing 1272 MCM ACSR conductors per phase and one existing 3/8 galvanized steel Overhead Ground Wire (OHGW) terminated on the east face of the poles.  The structure will include a steel arm for jumper support and the required down guys and anchors west &amp; north.  A new .602 Optical Fiber Overhead Ground Wire will dead end on the east face of the south pole and be installed from this structure to the Midway Substation AF-6 transmission pull off structure.  A fiber optic splice cabinet will be installed on this new structure and on the existing AF-6 structure at Midway Substation for connection to the Protection &amp; Control equipment.  EMPP will install three 1272 MCM conductors per phase (4605A minimum), one or two appropriately sized OHGW’s, and one fiber optic cable to the new deadend structure within the FPL R/W.  The conductors and OHGW’s will terminate on the south face of the poles and the fiber optic cable will be spliced at the cabinet by EMPP. The total length and the route of the transmission line and fiber optic cable will be determined once final engineering drawings of the EMPP plant switchyard are submitted to FPL.  A copy of the engineering drawings (Main One Line and physical layout) should be forwarded to FPL as soon as they are available.</w:t>
      </w:r>
    </w:p>
    <w:p>
      <w:pPr>
        <w:pStyle w:val="Normal"/>
        <w:ind w:start="360" w:end="0"/>
        <w:rPr/>
      </w:pPr>
      <w:r>
        <w:rPr/>
      </w:r>
    </w:p>
    <w:p>
      <w:pPr>
        <w:pStyle w:val="Normal"/>
        <w:numPr>
          <w:ilvl w:val="1"/>
          <w:numId w:val="3"/>
        </w:numPr>
        <w:rPr>
          <w:sz w:val="24"/>
        </w:rPr>
      </w:pPr>
      <w:r>
        <w:rPr>
          <w:b/>
          <w:sz w:val="24"/>
          <w:u w:val="single"/>
        </w:rPr>
        <w:t>Construct Poinsett – EMPP 500 kV Line</w:t>
      </w:r>
      <w:r>
        <w:rPr>
          <w:sz w:val="24"/>
        </w:rPr>
        <w:t xml:space="preserve"> – FPL will install one 3-pole dead end structure within the existing R/W of the Midway Poinsett 500 kV Line.  This structure will consist of three concrete poles with three existing 1272 MCM ACSR conductors per phase (4605A minimum) and two existing 3/8 galvanized steel Overhead Ground Wires (OHGW) terminated on the west face of the poles.  The structure will include a steel arm for jumper support and the required down guys and anchors east &amp; north.  EMPP will install three 1272 MCM conductors per phase and two appropriately sized OHGW’s to this new deadend structure within the FPL R/W.  The conductors and OHGW’s will terminate on the south face of the poles. FPL is submitting for review an estimate to install the pulloffs into the EMPP pulloff towers from the FPL termination point. Should EMPP decide to install the deadends from the FPL deadend structures to their own towers, section II of the estimate below may be eliminated.</w:t>
      </w:r>
    </w:p>
    <w:p>
      <w:pPr>
        <w:pStyle w:val="Footer"/>
        <w:tabs>
          <w:tab w:val="clear" w:pos="4320"/>
          <w:tab w:val="clear" w:pos="8640"/>
        </w:tabs>
        <w:rPr>
          <w:sz w:val="24"/>
        </w:rPr>
      </w:pPr>
      <w:r>
        <w:rPr>
          <w:sz w:val="24"/>
        </w:rPr>
      </w:r>
    </w:p>
    <w:p>
      <w:pPr>
        <w:pStyle w:val="Normal"/>
        <w:ind w:start="360" w:end="0"/>
        <w:rPr/>
      </w:pPr>
      <w:r>
        <w:rPr/>
      </w:r>
    </w:p>
    <w:p>
      <w:pPr>
        <w:pStyle w:val="Normal"/>
        <w:numPr>
          <w:ilvl w:val="1"/>
          <w:numId w:val="3"/>
        </w:numPr>
        <w:rPr/>
      </w:pPr>
      <w:r>
        <w:rPr>
          <w:b/>
          <w:sz w:val="24"/>
          <w:u w:val="single"/>
        </w:rPr>
        <w:t>OHGW Improvements Due to Fault Current</w:t>
      </w:r>
      <w:r>
        <w:rPr>
          <w:sz w:val="24"/>
        </w:rPr>
        <w:t xml:space="preserve"> – There are no OHGW modifications required due to the interconnection of the EMPP.</w:t>
      </w:r>
    </w:p>
    <w:p>
      <w:pPr>
        <w:pStyle w:val="Normal"/>
        <w:ind w:start="360" w:end="0"/>
        <w:rPr/>
      </w:pPr>
      <w:r>
        <w:rPr/>
      </w:r>
    </w:p>
    <w:p>
      <w:pPr>
        <w:pStyle w:val="Normal"/>
        <w:numPr>
          <w:ilvl w:val="1"/>
          <w:numId w:val="3"/>
        </w:numPr>
        <w:rPr/>
      </w:pPr>
      <w:r>
        <w:rPr>
          <w:b/>
          <w:sz w:val="24"/>
          <w:u w:val="single"/>
        </w:rPr>
        <w:t>Fiber Optic Cables</w:t>
      </w:r>
      <w:r>
        <w:rPr>
          <w:sz w:val="24"/>
        </w:rPr>
        <w:t xml:space="preserve"> – There are no fiber optic cable conflicts on the line sections that will be impacted by the interconnection with EMPP at Midway or Poinsett substation or along the 500kV corridor.  However, a new fiber optic path for protective relaying will be installed in the OHGW (OPGW) along the selected transmission route as noted above.</w:t>
      </w:r>
    </w:p>
    <w:p>
      <w:pPr>
        <w:pStyle w:val="Normal"/>
        <w:ind w:start="360" w:end="0"/>
        <w:rPr/>
      </w:pPr>
      <w:r>
        <w:rPr/>
      </w:r>
    </w:p>
    <w:p>
      <w:pPr>
        <w:pStyle w:val="Normal"/>
        <w:rPr>
          <w:b/>
          <w:sz w:val="24"/>
          <w:u w:val="single"/>
        </w:rPr>
      </w:pPr>
      <w:r>
        <w:rPr>
          <w:b/>
          <w:sz w:val="24"/>
          <w:u w:val="single"/>
        </w:rPr>
        <w:t>Summary of Costs - Transmission</w:t>
      </w:r>
    </w:p>
    <w:p>
      <w:pPr>
        <w:pStyle w:val="Normal"/>
        <w:ind w:firstLine="360" w:end="0"/>
        <w:rPr>
          <w:b/>
          <w:sz w:val="24"/>
          <w:u w:val="single"/>
        </w:rPr>
      </w:pPr>
      <w:r>
        <w:rPr>
          <w:b/>
          <w:sz w:val="24"/>
          <w:u w:val="single"/>
        </w:rPr>
      </w:r>
    </w:p>
    <w:p>
      <w:pPr>
        <w:pStyle w:val="Normal"/>
        <w:ind w:firstLine="360" w:end="0"/>
        <w:rPr>
          <w:sz w:val="24"/>
        </w:rPr>
      </w:pPr>
      <w:r>
        <w:rPr>
          <w:sz w:val="24"/>
        </w:rPr>
        <w:t xml:space="preserve">I. </w:t>
      </w:r>
      <w:r>
        <w:rPr>
          <w:sz w:val="24"/>
          <w:u w:val="single"/>
        </w:rPr>
        <w:t>Midway-EMPP-Poinsett 500 kV loop</w:t>
      </w:r>
    </w:p>
    <w:p>
      <w:pPr>
        <w:pStyle w:val="Normal"/>
        <w:rPr/>
      </w:pPr>
      <w:r>
        <w:rPr>
          <w:sz w:val="24"/>
        </w:rPr>
        <w:t xml:space="preserve">         </w:t>
      </w:r>
      <w:r>
        <w:rPr>
          <w:sz w:val="24"/>
        </w:rPr>
        <w:t xml:space="preserve">Construct deadend, R/W prep, terminate line </w:t>
        <w:tab/>
        <w:tab/>
        <w:t xml:space="preserve">Cost   </w:t>
      </w:r>
      <w:r>
        <w:rPr>
          <w:b/>
          <w:sz w:val="24"/>
          <w:u w:val="single"/>
        </w:rPr>
        <w:t>$641,000</w:t>
      </w:r>
    </w:p>
    <w:p>
      <w:pPr>
        <w:pStyle w:val="Normal"/>
        <w:ind w:firstLine="360" w:end="0"/>
        <w:rPr>
          <w:color w:val="000000"/>
          <w:sz w:val="24"/>
        </w:rPr>
      </w:pPr>
      <w:r>
        <w:rPr>
          <w:color w:val="000000"/>
          <w:sz w:val="24"/>
        </w:rPr>
        <w:t xml:space="preserve">II. </w:t>
      </w:r>
      <w:r>
        <w:rPr>
          <w:color w:val="000000"/>
          <w:sz w:val="24"/>
          <w:u w:val="single"/>
        </w:rPr>
        <w:t>Midway-EMPP-Poinsett 500 kV loop</w:t>
      </w:r>
    </w:p>
    <w:p>
      <w:pPr>
        <w:pStyle w:val="Normal"/>
        <w:rPr/>
      </w:pPr>
      <w:r>
        <w:rPr>
          <w:color w:val="000000"/>
          <w:sz w:val="24"/>
        </w:rPr>
        <w:t xml:space="preserve">         </w:t>
      </w:r>
      <w:r>
        <w:rPr>
          <w:color w:val="000000"/>
          <w:sz w:val="24"/>
        </w:rPr>
        <w:t xml:space="preserve">Install 500kV line from FPL pulloff to EMPP </w:t>
        <w:tab/>
        <w:tab/>
        <w:t xml:space="preserve">Cost   </w:t>
      </w:r>
      <w:r>
        <w:rPr>
          <w:b/>
          <w:color w:val="000000"/>
          <w:sz w:val="24"/>
          <w:u w:val="single"/>
        </w:rPr>
        <w:t>$327,000</w:t>
      </w:r>
      <w:r>
        <w:rPr>
          <w:sz w:val="24"/>
        </w:rPr>
        <w:tab/>
      </w:r>
    </w:p>
    <w:p>
      <w:pPr>
        <w:pStyle w:val="Normal"/>
        <w:rPr>
          <w:sz w:val="24"/>
        </w:rPr>
      </w:pPr>
      <w:r>
        <w:rPr>
          <w:sz w:val="24"/>
        </w:rPr>
        <w:tab/>
      </w:r>
    </w:p>
    <w:p>
      <w:pPr>
        <w:pStyle w:val="Normal"/>
        <w:rPr/>
      </w:pPr>
      <w:r>
        <w:rPr>
          <w:color w:val="000000"/>
          <w:sz w:val="24"/>
        </w:rPr>
        <w:tab/>
        <w:tab/>
        <w:tab/>
        <w:tab/>
        <w:tab/>
        <w:tab/>
        <w:t xml:space="preserve">           </w:t>
        <w:tab/>
      </w:r>
      <w:r>
        <w:rPr>
          <w:b/>
          <w:color w:val="000000"/>
          <w:sz w:val="24"/>
        </w:rPr>
        <w:t>Total</w:t>
        <w:tab/>
        <w:t xml:space="preserve">           $968,000</w:t>
      </w:r>
    </w:p>
    <w:p>
      <w:pPr>
        <w:pStyle w:val="Normal"/>
        <w:tabs>
          <w:tab w:val="clear" w:pos="720"/>
          <w:tab w:val="left" w:pos="360" w:leader="none"/>
        </w:tabs>
        <w:rPr>
          <w:b/>
          <w:color w:val="000000"/>
          <w:sz w:val="24"/>
        </w:rPr>
      </w:pPr>
      <w:r>
        <w:rPr>
          <w:b/>
          <w:color w:val="000000"/>
          <w:sz w:val="24"/>
        </w:rPr>
      </w:r>
    </w:p>
    <w:p>
      <w:pPr>
        <w:pStyle w:val="Normal"/>
        <w:rPr>
          <w:color w:val="000000"/>
          <w:sz w:val="24"/>
        </w:rPr>
      </w:pPr>
      <w:r>
        <w:rPr>
          <w:b/>
          <w:sz w:val="24"/>
        </w:rPr>
        <w:t>These costs include permitting, engineering, installation, removals, materials, labor, vehicles and overheads (reimbursable adders).</w:t>
      </w:r>
    </w:p>
    <w:p>
      <w:pPr>
        <w:pStyle w:val="Normal"/>
        <w:rPr>
          <w:color w:val="000000"/>
          <w:sz w:val="24"/>
        </w:rPr>
      </w:pPr>
      <w:r>
        <w:rPr>
          <w:color w:val="000000"/>
          <w:sz w:val="24"/>
        </w:rPr>
      </w:r>
    </w:p>
    <w:p>
      <w:pPr>
        <w:pStyle w:val="Normal"/>
        <w:numPr>
          <w:ilvl w:val="0"/>
          <w:numId w:val="3"/>
        </w:numPr>
        <w:rPr>
          <w:b/>
        </w:rPr>
      </w:pPr>
      <w:r>
        <w:rPr>
          <w:b/>
          <w:sz w:val="24"/>
          <w:u w:val="single"/>
        </w:rPr>
        <w:t>SCOPE OF WORK (REAL ESTATE)</w:t>
      </w:r>
    </w:p>
    <w:p>
      <w:pPr>
        <w:pStyle w:val="Normal"/>
        <w:numPr>
          <w:ilvl w:val="2"/>
          <w:numId w:val="3"/>
        </w:numPr>
        <w:tabs>
          <w:tab w:val="clear" w:pos="720"/>
          <w:tab w:val="left" w:pos="900" w:leader="none"/>
        </w:tabs>
        <w:ind w:hanging="504" w:start="900" w:end="0"/>
        <w:rPr/>
      </w:pPr>
      <w:r>
        <w:rPr>
          <w:sz w:val="24"/>
        </w:rPr>
        <w:t>Real Estate will secure any easements or R/W required to deadend the Midway-Poinsett 500kV line at the interconnection point . See also Scope of Work – Siting.</w:t>
      </w:r>
    </w:p>
    <w:p>
      <w:pPr>
        <w:pStyle w:val="Normal"/>
        <w:numPr>
          <w:ilvl w:val="2"/>
          <w:numId w:val="3"/>
        </w:numPr>
        <w:tabs>
          <w:tab w:val="clear" w:pos="720"/>
          <w:tab w:val="left" w:pos="900" w:leader="none"/>
        </w:tabs>
        <w:ind w:hanging="504" w:start="900" w:end="0"/>
        <w:rPr/>
      </w:pPr>
      <w:r>
        <w:rPr>
          <w:sz w:val="24"/>
        </w:rPr>
        <w:t>Selection and purchase (or easement procurement) of any right-of-way required between the existing deadends and the EMPP facility will be the responsibility of EMPP.</w:t>
      </w:r>
    </w:p>
    <w:p>
      <w:pPr>
        <w:pStyle w:val="Normal"/>
        <w:ind w:start="720" w:end="0"/>
        <w:rPr/>
      </w:pPr>
      <w:r>
        <w:rPr/>
      </w:r>
    </w:p>
    <w:p>
      <w:pPr>
        <w:pStyle w:val="Normal"/>
        <w:numPr>
          <w:ilvl w:val="0"/>
          <w:numId w:val="3"/>
        </w:numPr>
        <w:rPr>
          <w:b/>
        </w:rPr>
      </w:pPr>
      <w:r>
        <w:rPr>
          <w:b/>
          <w:sz w:val="24"/>
          <w:u w:val="single"/>
        </w:rPr>
        <w:t>SCOPE OF WORK (DISTRIBUTION)</w:t>
      </w:r>
    </w:p>
    <w:p>
      <w:pPr>
        <w:pStyle w:val="Normal"/>
        <w:numPr>
          <w:ilvl w:val="2"/>
          <w:numId w:val="3"/>
        </w:numPr>
        <w:tabs>
          <w:tab w:val="clear" w:pos="720"/>
          <w:tab w:val="left" w:pos="900" w:leader="none"/>
        </w:tabs>
        <w:ind w:hanging="504" w:start="900" w:end="0"/>
        <w:rPr/>
      </w:pPr>
      <w:r>
        <w:rPr>
          <w:sz w:val="24"/>
        </w:rPr>
        <w:t>FPL has reviewed the need to relocate any distribution facilities that conflict with the new transmission loop and determined that there are no apparent conflicts.</w:t>
      </w:r>
    </w:p>
    <w:p>
      <w:pPr>
        <w:pStyle w:val="Normal"/>
        <w:numPr>
          <w:ilvl w:val="2"/>
          <w:numId w:val="3"/>
        </w:numPr>
        <w:tabs>
          <w:tab w:val="clear" w:pos="720"/>
          <w:tab w:val="left" w:pos="900" w:leader="none"/>
        </w:tabs>
        <w:ind w:hanging="504" w:start="900" w:end="0"/>
        <w:rPr/>
      </w:pPr>
      <w:r>
        <w:rPr>
          <w:sz w:val="24"/>
        </w:rPr>
        <w:t>Any on-site power requirements including construction power, administration office parking and lighting should be negotiated with FPL’s Commercial/Industrial department.  This study does not cover the above-mentioned work but can be coordinated at the customers request.</w:t>
      </w:r>
    </w:p>
    <w:p>
      <w:pPr>
        <w:pStyle w:val="Normal"/>
        <w:ind w:start="720" w:end="0"/>
        <w:rPr/>
      </w:pPr>
      <w:r>
        <w:rPr/>
      </w:r>
    </w:p>
    <w:p>
      <w:pPr>
        <w:pStyle w:val="Normal"/>
        <w:numPr>
          <w:ilvl w:val="0"/>
          <w:numId w:val="3"/>
        </w:numPr>
        <w:rPr>
          <w:b/>
        </w:rPr>
      </w:pPr>
      <w:r>
        <w:rPr>
          <w:b/>
          <w:sz w:val="24"/>
          <w:u w:val="single"/>
        </w:rPr>
        <w:t>SCOPE OF WORK (OPERATIONS)</w:t>
      </w:r>
    </w:p>
    <w:p>
      <w:pPr>
        <w:pStyle w:val="Normal"/>
        <w:numPr>
          <w:ilvl w:val="2"/>
          <w:numId w:val="3"/>
        </w:numPr>
        <w:tabs>
          <w:tab w:val="clear" w:pos="720"/>
          <w:tab w:val="left" w:pos="900" w:leader="none"/>
        </w:tabs>
        <w:ind w:hanging="504" w:start="900" w:end="0"/>
        <w:rPr/>
      </w:pPr>
      <w:r>
        <w:rPr>
          <w:sz w:val="24"/>
        </w:rPr>
        <w:t>There will be requirements for transmission line and 500kV bus clearances.  Timing of these clearances will be dependent upon many factors including but not being limited to the time of year, maintenance requirements, other previously granted clearances, weather, firm transmission contracts and system load conditions.</w:t>
      </w:r>
    </w:p>
    <w:p>
      <w:pPr>
        <w:pStyle w:val="Normal"/>
        <w:numPr>
          <w:ilvl w:val="2"/>
          <w:numId w:val="3"/>
        </w:numPr>
        <w:tabs>
          <w:tab w:val="clear" w:pos="720"/>
          <w:tab w:val="left" w:pos="900" w:leader="none"/>
        </w:tabs>
        <w:ind w:hanging="504" w:start="900" w:end="0"/>
        <w:rPr/>
      </w:pPr>
      <w:r>
        <w:rPr>
          <w:sz w:val="24"/>
        </w:rPr>
        <w:t xml:space="preserve">Clearances are reviewed on a daily basis and may be cancelled or delayed due to reliability considerations associated with the factors listed above.  Such cancellations or delays associated with planned clearances will be considered unavoidable and may affect the scheduled completion of requirements associated with this project which in turn may delay the in-service date </w:t>
      </w:r>
      <w:r>
        <w:rPr>
          <w:sz w:val="24"/>
          <w:lang w:eastAsia="en-US"/>
        </w:rPr>
        <w:t>as well as impact the total cost of the project</w:t>
      </w:r>
      <w:r>
        <w:rPr>
          <w:sz w:val="24"/>
        </w:rPr>
        <w:t>.</w:t>
      </w:r>
    </w:p>
    <w:p>
      <w:pPr>
        <w:pStyle w:val="Normal"/>
        <w:ind w:start="720" w:end="0"/>
        <w:rPr/>
      </w:pPr>
      <w:r>
        <w:rPr/>
      </w:r>
    </w:p>
    <w:p>
      <w:pPr>
        <w:pStyle w:val="Normal"/>
        <w:numPr>
          <w:ilvl w:val="0"/>
          <w:numId w:val="3"/>
        </w:numPr>
        <w:rPr>
          <w:b/>
        </w:rPr>
      </w:pPr>
      <w:r>
        <w:rPr>
          <w:b/>
          <w:sz w:val="24"/>
          <w:u w:val="single"/>
        </w:rPr>
        <w:t>SCHEDULE OF WORK/COST (see attached project schedule)</w:t>
      </w:r>
    </w:p>
    <w:p>
      <w:pPr>
        <w:pStyle w:val="Normal"/>
        <w:numPr>
          <w:ilvl w:val="2"/>
          <w:numId w:val="3"/>
        </w:numPr>
        <w:tabs>
          <w:tab w:val="clear" w:pos="720"/>
          <w:tab w:val="left" w:pos="900" w:leader="none"/>
        </w:tabs>
        <w:ind w:hanging="504" w:start="900" w:end="0"/>
        <w:rPr/>
      </w:pPr>
      <w:r>
        <w:rPr>
          <w:sz w:val="24"/>
        </w:rPr>
        <w:t>Siting/Permitting will initiate activity associated with the initial permit process including surveying and environmental studies, once the Connection &amp; Construction Agreement is signed or as soon as FPL and EMPP can come to a mutual agreement to start earlier.</w:t>
      </w:r>
    </w:p>
    <w:p>
      <w:pPr>
        <w:pStyle w:val="Normal"/>
        <w:numPr>
          <w:ilvl w:val="2"/>
          <w:numId w:val="3"/>
        </w:numPr>
        <w:tabs>
          <w:tab w:val="clear" w:pos="720"/>
          <w:tab w:val="left" w:pos="900" w:leader="none"/>
        </w:tabs>
        <w:ind w:hanging="504" w:start="900" w:end="0"/>
        <w:rPr/>
      </w:pPr>
      <w:r>
        <w:rPr>
          <w:sz w:val="24"/>
        </w:rPr>
        <w:t>The total time to complete the entire project provided the necessary clearances and R/W acquisition (if required) can be obtained in the timeframe required is approximately 14-16 months from the issuance of the Construction and Connection Agreement.</w:t>
      </w:r>
    </w:p>
    <w:p>
      <w:pPr>
        <w:pStyle w:val="Normal"/>
        <w:numPr>
          <w:ilvl w:val="2"/>
          <w:numId w:val="3"/>
        </w:numPr>
        <w:tabs>
          <w:tab w:val="clear" w:pos="720"/>
          <w:tab w:val="left" w:pos="900" w:leader="none"/>
        </w:tabs>
        <w:ind w:hanging="504" w:start="900" w:end="0"/>
        <w:rPr/>
      </w:pPr>
      <w:r>
        <w:rPr>
          <w:sz w:val="24"/>
        </w:rPr>
        <w:t>The requested date for providing EMPP start-up power is 2/1/03.  As noted in the attached project schedule this date can be achieved provided a C&amp;C Agreement has been completed by 10/1/01 or sooner.  Once an agreement has been completed, FPL will use due diligence to support this schedule.  This schedule also assumes that the required clearances, and contract construction resources are available in the timeframes presented.</w:t>
      </w:r>
    </w:p>
    <w:p>
      <w:pPr>
        <w:pStyle w:val="Normal"/>
        <w:ind w:start="720" w:end="0"/>
        <w:rPr/>
      </w:pPr>
      <w:r>
        <w:rPr/>
      </w:r>
    </w:p>
    <w:p>
      <w:pPr>
        <w:pStyle w:val="Normal"/>
        <w:numPr>
          <w:ilvl w:val="0"/>
          <w:numId w:val="3"/>
        </w:numPr>
        <w:rPr>
          <w:b/>
        </w:rPr>
      </w:pPr>
      <w:r>
        <w:rPr>
          <w:b/>
          <w:sz w:val="24"/>
          <w:u w:val="single"/>
        </w:rPr>
        <w:t>TOTAL PROJECT COST</w:t>
      </w:r>
    </w:p>
    <w:p>
      <w:pPr>
        <w:pStyle w:val="Normal"/>
        <w:rPr>
          <w:b/>
        </w:rPr>
      </w:pPr>
      <w:r>
        <w:rPr>
          <w:b/>
        </w:rPr>
      </w:r>
    </w:p>
    <w:p>
      <w:pPr>
        <w:pStyle w:val="Normal"/>
        <w:rPr>
          <w:b/>
          <w:sz w:val="24"/>
        </w:rPr>
      </w:pPr>
      <w:r>
        <w:rPr>
          <w:b/>
          <w:sz w:val="24"/>
        </w:rPr>
        <w:t xml:space="preserve">Siting, Substation, and Protection &amp; Control </w:t>
        <w:tab/>
        <w:tab/>
        <w:tab/>
        <w:tab/>
        <w:t>$4,443,000</w:t>
      </w:r>
    </w:p>
    <w:p>
      <w:pPr>
        <w:pStyle w:val="Normal"/>
        <w:rPr/>
      </w:pPr>
      <w:r>
        <w:rPr>
          <w:b/>
          <w:sz w:val="24"/>
        </w:rPr>
        <w:t>Transmission line, ampacity upgrade and OHGW</w:t>
        <w:tab/>
        <w:tab/>
        <w:tab/>
      </w:r>
      <w:r>
        <w:rPr>
          <w:b/>
          <w:sz w:val="24"/>
          <w:u w:val="single"/>
        </w:rPr>
        <w:t>$   968,000</w:t>
      </w:r>
    </w:p>
    <w:p>
      <w:pPr>
        <w:pStyle w:val="Normal"/>
        <w:rPr>
          <w:b/>
          <w:sz w:val="24"/>
        </w:rPr>
      </w:pPr>
      <w:r>
        <w:rPr>
          <w:b/>
          <w:sz w:val="24"/>
        </w:rPr>
        <w:tab/>
        <w:tab/>
        <w:tab/>
        <w:tab/>
        <w:tab/>
        <w:tab/>
        <w:tab/>
        <w:tab/>
        <w:tab/>
        <w:t>Total</w:t>
        <w:tab/>
      </w:r>
      <w:r>
        <w:rPr>
          <w:b/>
          <w:sz w:val="24"/>
          <w:u w:val="double"/>
        </w:rPr>
        <w:t>$5,411,000</w:t>
      </w:r>
    </w:p>
    <w:p>
      <w:pPr>
        <w:pStyle w:val="Normal"/>
        <w:rPr>
          <w:b/>
          <w:sz w:val="24"/>
        </w:rPr>
      </w:pPr>
      <w:r>
        <w:rPr>
          <w:b/>
          <w:sz w:val="24"/>
        </w:rPr>
      </w:r>
    </w:p>
    <w:p>
      <w:pPr>
        <w:pStyle w:val="BodyText"/>
        <w:rPr/>
      </w:pPr>
      <w:r>
        <w:rPr/>
        <w:t>These estimates include the permitting, engineering, installation and removal of all materials, labor, vehicle, and overheads (reimbursable adders) associated with the work described within.  All estimates are shown in year 2001 dollars.  In addition, labor, material and equipment costs are subject to change depending upon inflation, market conditions and delivery schedules.  Labor costs are based upon contractors performing the work under FPL supervision.</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abstractNum>
  <w:abstractNum w:abstractNumId="3">
    <w:lvl w:ilvl="0">
      <w:start w:val="1"/>
      <w:numFmt w:val="upperRoman"/>
      <w:lvlText w:val="%1."/>
      <w:lvlJc w:val="start"/>
      <w:pPr>
        <w:tabs>
          <w:tab w:val="num" w:pos="720"/>
        </w:tabs>
        <w:ind w:start="360" w:hanging="360"/>
      </w:pPr>
      <w:rPr>
        <w:smallCaps w:val="false"/>
        <w:caps w:val="false"/>
        <w:outline w:val="false"/>
        <w:dstrike w:val="false"/>
        <w:strike w:val="false"/>
        <w:vertAlign w:val="baseline"/>
        <w:position w:val="0"/>
        <w:sz w:val="24"/>
        <w:sz w:val="24"/>
        <w:i w:val="false"/>
        <w:shadow w:val="false"/>
        <w:u w:val="single"/>
        <w:b/>
        <w:vanish w:val="false"/>
        <w:rFonts w:ascii="Times New Roman" w:hAnsi="Times New Roman" w:cs="Times New Roman"/>
        <w:color w:val="auto"/>
      </w:rPr>
    </w:lvl>
    <w:lvl w:ilvl="1">
      <w:start w:val="1"/>
      <w:numFmt w:val="upperLetter"/>
      <w:lvlText w:val="%2."/>
      <w:lvlJc w:val="start"/>
      <w:pPr>
        <w:tabs>
          <w:tab w:val="num" w:pos="792"/>
        </w:tabs>
        <w:ind w:start="792" w:hanging="432"/>
      </w:pPr>
      <w:rPr>
        <w:smallCaps w:val="false"/>
        <w:caps w:val="false"/>
        <w:outline w:val="false"/>
        <w:dstrike w:val="false"/>
        <w:strike w:val="false"/>
        <w:vertAlign w:val="baseline"/>
        <w:position w:val="0"/>
        <w:sz w:val="24"/>
        <w:sz w:val="24"/>
        <w:i w:val="false"/>
        <w:shadow w:val="false"/>
        <w:u w:val="single"/>
        <w:b/>
        <w:vanish w:val="false"/>
        <w:rFonts w:ascii="Times New Roman" w:hAnsi="Times New Roman" w:cs="Times New Roman"/>
        <w:color w:val="auto"/>
      </w:rPr>
    </w:lvl>
    <w:lvl w:ilvl="2">
      <w:start w:val="1"/>
      <w:numFmt w:val="bullet"/>
      <w:lvlText w:val=""/>
      <w:lvlJc w:val="start"/>
      <w:pPr>
        <w:tabs>
          <w:tab w:val="num" w:pos="1224"/>
        </w:tabs>
        <w:ind w:start="1224" w:hanging="504"/>
      </w:pPr>
      <w:rPr>
        <w:rFonts w:ascii="Symbol" w:hAnsi="Symbol" w:cs="Symbol" w:hint="default"/>
        <w:smallCaps w:val="false"/>
        <w:caps w:val="false"/>
        <w:dstrike w:val="false"/>
        <w:strike w:val="false"/>
        <w:vertAlign w:val="baseline"/>
        <w:position w:val="0"/>
        <w:sz w:val="24"/>
        <w:sz w:val="24"/>
        <w:i w:val="false"/>
        <w:shadow w:val="false"/>
        <w:u w:val="none"/>
        <w:b/>
        <w:vanish w:val="false"/>
        <w:color w:val="000000"/>
      </w:rPr>
    </w:lvl>
    <w:lvl w:ilvl="3">
      <w:start w:val="1"/>
      <w:numFmt w:val="lowerLetter"/>
      <w:lvlText w:val="%4."/>
      <w:lvlJc w:val="start"/>
      <w:pPr>
        <w:tabs>
          <w:tab w:val="num" w:pos="1728"/>
        </w:tabs>
        <w:ind w:start="1728" w:hanging="648"/>
      </w:pPr>
      <w:rPr>
        <w:sz w:val="24"/>
        <w:i w:val="false"/>
        <w:b w:val="false"/>
        <w:rFonts w:ascii="Times New Roman" w:hAnsi="Times New Roman" w:cs="Times New Roman"/>
      </w:r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Helv" w:hAnsi="Helv" w:cs="Helv"/>
      <w:b/>
      <w:color w:val="000000"/>
      <w:lang w:eastAsia="en-US"/>
    </w:rPr>
  </w:style>
  <w:style w:type="paragraph" w:styleId="Heading2">
    <w:name w:val="heading 2"/>
    <w:basedOn w:val="Normal"/>
    <w:next w:val="Normal"/>
    <w:qFormat/>
    <w:pPr>
      <w:keepNext w:val="true"/>
      <w:numPr>
        <w:ilvl w:val="1"/>
        <w:numId w:val="1"/>
      </w:numPr>
      <w:ind w:hanging="0" w:start="360" w:end="0"/>
      <w:jc w:val="center"/>
      <w:outlineLvl w:val="1"/>
    </w:pPr>
    <w:rPr>
      <w:b/>
      <w:sz w:val="24"/>
    </w:rPr>
  </w:style>
  <w:style w:type="paragraph" w:styleId="Heading3">
    <w:name w:val="heading 3"/>
    <w:basedOn w:val="Normal"/>
    <w:next w:val="Normal"/>
    <w:qFormat/>
    <w:pPr>
      <w:keepNext w:val="true"/>
      <w:numPr>
        <w:ilvl w:val="2"/>
        <w:numId w:val="1"/>
      </w:numPr>
      <w:jc w:val="both"/>
      <w:outlineLvl w:val="2"/>
    </w:pPr>
    <w:rPr>
      <w:b/>
      <w:sz w:val="24"/>
      <w:u w:val="single"/>
    </w:rPr>
  </w:style>
  <w:style w:type="paragraph" w:styleId="Heading4">
    <w:name w:val="heading 4"/>
    <w:basedOn w:val="Normal"/>
    <w:next w:val="Normal"/>
    <w:qFormat/>
    <w:pPr>
      <w:keepNext w:val="true"/>
      <w:numPr>
        <w:ilvl w:val="0"/>
        <w:numId w:val="4"/>
      </w:numPr>
      <w:jc w:val="both"/>
      <w:outlineLvl w:val="3"/>
    </w:pPr>
    <w:rPr>
      <w:sz w:val="24"/>
    </w:rPr>
  </w:style>
  <w:style w:type="paragraph" w:styleId="Heading5">
    <w:name w:val="heading 5"/>
    <w:basedOn w:val="Normal"/>
    <w:next w:val="Normal"/>
    <w:qFormat/>
    <w:pPr>
      <w:keepNext w:val="true"/>
      <w:numPr>
        <w:ilvl w:val="4"/>
        <w:numId w:val="1"/>
      </w:numPr>
      <w:outlineLvl w:val="4"/>
    </w:pPr>
    <w:rPr>
      <w:b/>
      <w:color w:val="000000"/>
      <w:sz w:val="24"/>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jc w:val="both"/>
      <w:outlineLvl w:val="6"/>
    </w:pPr>
    <w:rPr>
      <w:sz w:val="24"/>
      <w:u w:val="single"/>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keepNext w:val="true"/>
      <w:numPr>
        <w:ilvl w:val="0"/>
        <w:numId w:val="3"/>
      </w:numPr>
      <w:outlineLvl w:val="8"/>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b/>
      <w:i w:val="false"/>
      <w:sz w:val="24"/>
    </w:rPr>
  </w:style>
  <w:style w:type="character" w:styleId="WW8Num8z1">
    <w:name w:val="WW8Num8z1"/>
    <w:qFormat/>
    <w:rPr>
      <w:rFonts w:ascii="Times New Roman" w:hAnsi="Times New Roman" w:cs="Times New Roman"/>
      <w:b/>
      <w:i w:val="false"/>
      <w:sz w:val="24"/>
      <w:u w:val="single"/>
    </w:rPr>
  </w:style>
  <w:style w:type="character" w:styleId="WW8Num8z2">
    <w:name w:val="WW8Num8z2"/>
    <w:qFormat/>
    <w:rPr>
      <w:rFonts w:ascii="Symbol" w:hAnsi="Symbol" w:cs="Symbol"/>
      <w:color w:val="000000"/>
    </w:rPr>
  </w:style>
  <w:style w:type="character" w:styleId="WW8Num9z0">
    <w:name w:val="WW8Num9z0"/>
    <w:qFormat/>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single"/>
      <w:vertAlign w:val="baseline"/>
    </w:rPr>
  </w:style>
  <w:style w:type="character" w:styleId="WW8Num49z2">
    <w:name w:val="WW8Num49z2"/>
    <w:qFormat/>
    <w:rPr>
      <w:rFonts w:ascii="Symbol" w:hAnsi="Symbol" w:cs="Symbol"/>
      <w:b/>
      <w:i w:val="false"/>
      <w:caps w:val="false"/>
      <w:smallCaps w:val="false"/>
      <w:strike w:val="false"/>
      <w:dstrike w:val="false"/>
      <w:shadow w:val="false"/>
      <w:vanish w:val="false"/>
      <w:color w:val="000000"/>
      <w:position w:val="0"/>
      <w:sz w:val="24"/>
      <w:sz w:val="24"/>
      <w:u w:val="none"/>
      <w:vertAlign w:val="baseline"/>
    </w:rPr>
  </w:style>
  <w:style w:type="character" w:styleId="WW8Num49z3">
    <w:name w:val="WW8Num49z3"/>
    <w:qFormat/>
    <w:rPr>
      <w:rFonts w:ascii="Times New Roman" w:hAnsi="Times New Roman" w:cs="Times New Roman"/>
      <w:b w:val="false"/>
      <w:i w:val="false"/>
      <w:sz w:val="24"/>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center"/>
    </w:pPr>
    <w:rPr>
      <w:sz w:val="24"/>
    </w:rPr>
  </w:style>
  <w:style w:type="paragraph" w:styleId="BodyTextIndent">
    <w:name w:val="Body Text Indent"/>
    <w:basedOn w:val="Normal"/>
    <w:pPr>
      <w:ind w:hanging="720" w:start="1440" w:end="0"/>
      <w:jc w:val="both"/>
    </w:pPr>
    <w:rPr>
      <w:sz w:val="24"/>
    </w:rPr>
  </w:style>
  <w:style w:type="paragraph" w:styleId="BodyText2">
    <w:name w:val="Body Text 2"/>
    <w:basedOn w:val="Normal"/>
    <w:qFormat/>
    <w:pPr>
      <w:spacing w:lineRule="atLeast" w:line="240"/>
    </w:pPr>
    <w:rPr>
      <w:color w:val="FF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080" w:end="0"/>
      <w:jc w:val="both"/>
    </w:pPr>
    <w:rPr>
      <w:sz w:val="24"/>
    </w:rPr>
  </w:style>
  <w:style w:type="paragraph" w:styleId="Subtitle">
    <w:name w:val="Subtitle"/>
    <w:basedOn w:val="Normal"/>
    <w:next w:val="BodyText"/>
    <w:qFormat/>
    <w:pPr>
      <w:spacing w:lineRule="atLeast" w:line="240"/>
    </w:pPr>
    <w:rPr>
      <w:b/>
      <w:sz w:val="24"/>
      <w:u w:val="single"/>
    </w:rPr>
  </w:style>
  <w:style w:type="paragraph" w:styleId="BodyTextIndent3">
    <w:name w:val="Body Text Indent 3"/>
    <w:basedOn w:val="Normal"/>
    <w:qFormat/>
    <w:pPr>
      <w:ind w:hanging="0" w:start="108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2001-05-04T17:16:00Z</dcterms:created>
  <dc:creator>dispatch</dc:creator>
  <dc:description/>
  <dc:language>en-CA</dc:language>
  <cp:lastModifiedBy>WDISPATCH</cp:lastModifiedBy>
  <cp:lastPrinted>2001-05-03T08:28:00Z</cp:lastPrinted>
  <dcterms:modified xsi:type="dcterms:W3CDTF">2001-05-04T18:02:00Z</dcterms:modified>
  <cp:revision>3</cp:revision>
  <dc:subject/>
  <dc:title>January 31th, 2001 </dc:title>
</cp:coreProperties>
</file>