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May 1, 2000</w:t>
      </w:r>
    </w:p>
    <w:p>
      <w:pPr>
        <w:pStyle w:val="Normal"/>
        <w:jc w:val="end"/>
        <w:rPr>
          <w:sz w:val="24"/>
        </w:rPr>
      </w:pPr>
      <w:r>
        <w:rPr>
          <w:sz w:val="24"/>
        </w:rPr>
      </w:r>
    </w:p>
    <w:p>
      <w:pPr>
        <w:pStyle w:val="Normal"/>
        <w:rPr>
          <w:sz w:val="24"/>
        </w:rPr>
      </w:pPr>
      <w:r>
        <w:rPr>
          <w:sz w:val="24"/>
        </w:rPr>
        <w:t>Megan,</w:t>
      </w:r>
    </w:p>
    <w:p>
      <w:pPr>
        <w:pStyle w:val="Normal"/>
        <w:rPr>
          <w:sz w:val="24"/>
        </w:rPr>
      </w:pPr>
      <w:r>
        <w:rPr>
          <w:sz w:val="24"/>
        </w:rPr>
      </w:r>
    </w:p>
    <w:p>
      <w:pPr>
        <w:pStyle w:val="Normal"/>
        <w:ind w:firstLine="720" w:end="0"/>
        <w:rPr>
          <w:sz w:val="24"/>
        </w:rPr>
      </w:pPr>
      <w:r>
        <w:rPr>
          <w:sz w:val="24"/>
        </w:rPr>
        <w:t xml:space="preserve">Last fall Jo-Ann, Kim and I tried on many occasions to negotiate an ISDA with Enron Capital and Trade Resources Corp.  Enron Corp was the proposed guarantor.  Most conversations were with Per Sekse, Director in the NY office, 212-702-3950 </w:t>
      </w:r>
    </w:p>
    <w:p>
      <w:pPr>
        <w:pStyle w:val="Normal"/>
        <w:ind w:firstLine="720" w:end="0"/>
        <w:rPr>
          <w:sz w:val="24"/>
        </w:rPr>
      </w:pPr>
      <w:r>
        <w:rPr>
          <w:sz w:val="24"/>
        </w:rPr>
        <w:t>The following were some of the stumbling blocks in the negotiating process:</w:t>
      </w:r>
    </w:p>
    <w:p>
      <w:pPr>
        <w:pStyle w:val="Normal"/>
        <w:rPr>
          <w:sz w:val="24"/>
        </w:rPr>
      </w:pPr>
      <w:r>
        <w:rPr>
          <w:sz w:val="24"/>
        </w:rPr>
      </w:r>
    </w:p>
    <w:p>
      <w:pPr>
        <w:pStyle w:val="Normal"/>
        <w:numPr>
          <w:ilvl w:val="0"/>
          <w:numId w:val="2"/>
        </w:numPr>
        <w:rPr>
          <w:sz w:val="24"/>
        </w:rPr>
      </w:pPr>
      <w:r>
        <w:rPr>
          <w:sz w:val="24"/>
        </w:rPr>
        <w:t xml:space="preserve">Enron did not like the Early Termination provision given their rating, at that time, of Baa2 / P-2.  Their rating would have instantly triggered an Additional Termination Event.  (As of last month Enron was upgraded to Baa1/P-2.)  </w:t>
      </w:r>
    </w:p>
    <w:p>
      <w:pPr>
        <w:pStyle w:val="Normal"/>
        <w:ind w:firstLine="720" w:end="0"/>
        <w:rPr>
          <w:sz w:val="24"/>
          <w:u w:val="single"/>
        </w:rPr>
      </w:pPr>
      <w:r>
        <w:rPr>
          <w:sz w:val="24"/>
          <w:u w:val="single"/>
        </w:rPr>
      </w:r>
    </w:p>
    <w:p>
      <w:pPr>
        <w:pStyle w:val="Normal"/>
        <w:ind w:firstLine="720" w:end="0"/>
        <w:rPr/>
      </w:pPr>
      <w:r>
        <w:rPr>
          <w:sz w:val="24"/>
          <w:u w:val="single"/>
        </w:rPr>
        <w:t>HMC’s Position</w:t>
      </w:r>
      <w:r>
        <w:rPr>
          <w:sz w:val="24"/>
        </w:rPr>
        <w:t>:  We were willing to lower the ratings trigger to accommodate the</w:t>
      </w:r>
    </w:p>
    <w:p>
      <w:pPr>
        <w:pStyle w:val="Normal"/>
        <w:ind w:firstLine="720" w:end="0"/>
        <w:rPr>
          <w:sz w:val="24"/>
        </w:rPr>
      </w:pPr>
      <w:r>
        <w:rPr>
          <w:sz w:val="24"/>
        </w:rPr>
        <w:t xml:space="preserve">termination issue by lowering the trigger to Baa3 or Ba1.  Both companies did </w:t>
      </w:r>
    </w:p>
    <w:p>
      <w:pPr>
        <w:pStyle w:val="Normal"/>
        <w:ind w:firstLine="720" w:end="0"/>
        <w:rPr>
          <w:sz w:val="24"/>
        </w:rPr>
      </w:pPr>
      <w:r>
        <w:rPr>
          <w:sz w:val="24"/>
        </w:rPr>
        <w:t xml:space="preserve">agree that HMC would receive 125% collateral should Enron’s ratings drop below Baa2. </w:t>
      </w:r>
    </w:p>
    <w:p>
      <w:pPr>
        <w:pStyle w:val="Normal"/>
        <w:rPr>
          <w:sz w:val="24"/>
        </w:rPr>
      </w:pPr>
      <w:r>
        <w:rPr>
          <w:sz w:val="24"/>
        </w:rPr>
      </w:r>
    </w:p>
    <w:p>
      <w:pPr>
        <w:pStyle w:val="Normal"/>
        <w:numPr>
          <w:ilvl w:val="0"/>
          <w:numId w:val="2"/>
        </w:numPr>
        <w:rPr>
          <w:sz w:val="24"/>
        </w:rPr>
      </w:pPr>
      <w:r>
        <w:rPr>
          <w:sz w:val="24"/>
        </w:rPr>
        <w:t xml:space="preserve">Enron did not like the language in the documents that referred to termination due to “Watch Status”.  Per mentioned that Enron did not want to be “penalized” by a “Watch Status” rating since “Watch Status” is not a definite downward indication of one’s rating. </w:t>
      </w:r>
    </w:p>
    <w:p>
      <w:pPr>
        <w:pStyle w:val="Normal"/>
        <w:ind w:start="720" w:end="0"/>
        <w:rPr>
          <w:sz w:val="24"/>
          <w:u w:val="single"/>
        </w:rPr>
      </w:pPr>
      <w:r>
        <w:rPr>
          <w:sz w:val="24"/>
          <w:u w:val="single"/>
        </w:rPr>
      </w:r>
    </w:p>
    <w:p>
      <w:pPr>
        <w:pStyle w:val="Normal"/>
        <w:ind w:start="720" w:end="0"/>
        <w:rPr>
          <w:sz w:val="24"/>
          <w:u w:val="single"/>
        </w:rPr>
      </w:pPr>
      <w:r>
        <w:rPr>
          <w:sz w:val="24"/>
          <w:u w:val="single"/>
        </w:rPr>
        <w:t>HMC’s Position</w:t>
      </w:r>
      <w:r>
        <w:rPr>
          <w:sz w:val="24"/>
        </w:rPr>
        <w:t xml:space="preserve">:  We wanted to keep the “Watch Status” language. </w:t>
      </w:r>
    </w:p>
    <w:p>
      <w:pPr>
        <w:pStyle w:val="Normal"/>
        <w:rPr>
          <w:sz w:val="24"/>
          <w:u w:val="single"/>
        </w:rPr>
      </w:pPr>
      <w:r>
        <w:rPr>
          <w:sz w:val="24"/>
          <w:u w:val="single"/>
        </w:rPr>
      </w:r>
    </w:p>
    <w:p>
      <w:pPr>
        <w:pStyle w:val="Normal"/>
        <w:numPr>
          <w:ilvl w:val="0"/>
          <w:numId w:val="2"/>
        </w:numPr>
        <w:rPr>
          <w:sz w:val="24"/>
        </w:rPr>
      </w:pPr>
      <w:r>
        <w:rPr>
          <w:sz w:val="24"/>
        </w:rPr>
        <w:t xml:space="preserve">Enron wanted to be one of the three suppliers of pricing quotes in the event of a termination. Enron essentially wanted to close out any such termination based upon </w:t>
      </w:r>
      <w:r>
        <w:rPr>
          <w:i/>
          <w:sz w:val="24"/>
          <w:u w:val="single"/>
        </w:rPr>
        <w:t>their mark</w:t>
      </w:r>
      <w:r>
        <w:rPr>
          <w:sz w:val="24"/>
        </w:rPr>
        <w:t xml:space="preserve"> since they are one of the largest market makers and, in their opinion, it would be HMC’s decision to close out a trade, not theirs.</w:t>
      </w:r>
    </w:p>
    <w:p>
      <w:pPr>
        <w:pStyle w:val="Normal"/>
        <w:ind w:start="720" w:end="0"/>
        <w:rPr>
          <w:sz w:val="24"/>
          <w:u w:val="single"/>
        </w:rPr>
      </w:pPr>
      <w:r>
        <w:rPr>
          <w:sz w:val="24"/>
          <w:u w:val="single"/>
        </w:rPr>
      </w:r>
    </w:p>
    <w:p>
      <w:pPr>
        <w:pStyle w:val="Normal"/>
        <w:ind w:start="720" w:end="0"/>
        <w:rPr/>
      </w:pPr>
      <w:r>
        <w:rPr>
          <w:sz w:val="24"/>
          <w:u w:val="single"/>
        </w:rPr>
        <w:t>HMC’s Position</w:t>
      </w:r>
      <w:r>
        <w:rPr>
          <w:sz w:val="24"/>
        </w:rPr>
        <w:t>:  We did not want Enron to be one of the three.  It is Analytic’s belief that Enron would not be qualified to supply a quote should they be in a default scenario.</w:t>
      </w:r>
    </w:p>
    <w:p>
      <w:pPr>
        <w:pStyle w:val="Normal"/>
        <w:rPr>
          <w:sz w:val="24"/>
        </w:rPr>
      </w:pPr>
      <w:r>
        <w:rPr>
          <w:sz w:val="24"/>
        </w:rPr>
      </w:r>
    </w:p>
    <w:p>
      <w:pPr>
        <w:pStyle w:val="Normal"/>
        <w:numPr>
          <w:ilvl w:val="0"/>
          <w:numId w:val="2"/>
        </w:numPr>
        <w:rPr>
          <w:sz w:val="24"/>
        </w:rPr>
      </w:pPr>
      <w:r>
        <w:rPr>
          <w:sz w:val="24"/>
        </w:rPr>
        <w:t>Enron wanted Arbitration.</w:t>
      </w:r>
    </w:p>
    <w:p>
      <w:pPr>
        <w:pStyle w:val="Normal"/>
        <w:ind w:start="720" w:end="0"/>
        <w:rPr>
          <w:sz w:val="24"/>
          <w:u w:val="single"/>
        </w:rPr>
      </w:pPr>
      <w:r>
        <w:rPr>
          <w:sz w:val="24"/>
          <w:u w:val="single"/>
        </w:rPr>
      </w:r>
    </w:p>
    <w:p>
      <w:pPr>
        <w:pStyle w:val="Normal"/>
        <w:ind w:start="720" w:end="0"/>
        <w:rPr/>
      </w:pPr>
      <w:r>
        <w:rPr>
          <w:sz w:val="24"/>
          <w:u w:val="single"/>
        </w:rPr>
        <w:t>HMC’s Position:</w:t>
      </w:r>
      <w:r>
        <w:rPr>
          <w:sz w:val="24"/>
        </w:rPr>
        <w:t xml:space="preserve">  HMC was not in favor of Arbitration.</w:t>
      </w:r>
    </w:p>
    <w:p>
      <w:pPr>
        <w:pStyle w:val="Normal"/>
        <w:rPr>
          <w:sz w:val="24"/>
          <w:u w:val="single"/>
        </w:rPr>
      </w:pPr>
      <w:r>
        <w:rPr>
          <w:sz w:val="24"/>
          <w:u w:val="single"/>
        </w:rPr>
      </w:r>
    </w:p>
    <w:p>
      <w:pPr>
        <w:pStyle w:val="Normal"/>
        <w:numPr>
          <w:ilvl w:val="0"/>
          <w:numId w:val="2"/>
        </w:numPr>
        <w:rPr>
          <w:sz w:val="24"/>
        </w:rPr>
      </w:pPr>
      <w:r>
        <w:rPr>
          <w:sz w:val="24"/>
        </w:rPr>
        <w:t>Enron could only provide Letters of Credit as collateral.</w:t>
      </w:r>
    </w:p>
    <w:p>
      <w:pPr>
        <w:pStyle w:val="Normal"/>
        <w:ind w:start="720" w:end="0"/>
        <w:rPr>
          <w:sz w:val="24"/>
          <w:u w:val="single"/>
        </w:rPr>
      </w:pPr>
      <w:r>
        <w:rPr>
          <w:sz w:val="24"/>
          <w:u w:val="single"/>
        </w:rPr>
      </w:r>
    </w:p>
    <w:p>
      <w:pPr>
        <w:pStyle w:val="Normal"/>
        <w:ind w:start="720" w:end="0"/>
        <w:rPr/>
      </w:pPr>
      <w:r>
        <w:rPr>
          <w:sz w:val="24"/>
          <w:u w:val="single"/>
        </w:rPr>
        <w:t>HMC’s Position:</w:t>
      </w:r>
      <w:r>
        <w:rPr>
          <w:sz w:val="24"/>
        </w:rPr>
        <w:t xml:space="preserve">  We were willing to accept L/C’s from a mutually agreed upon bank.</w:t>
      </w:r>
    </w:p>
    <w:p>
      <w:pPr>
        <w:pStyle w:val="Normal"/>
        <w:rPr>
          <w:sz w:val="24"/>
        </w:rPr>
      </w:pPr>
      <w:r>
        <w:rPr>
          <w:sz w:val="24"/>
        </w:rPr>
      </w:r>
    </w:p>
    <w:sectPr>
      <w:type w:val="nextPage"/>
      <w:pgSz w:w="12240" w:h="15840"/>
      <w:pgMar w:left="1152" w:right="1152"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2000-05-02T13:43:00Z</dcterms:created>
  <dc:creator>David Saulnier</dc:creator>
  <dc:description/>
  <dc:language>en-CA</dc:language>
  <cp:lastModifiedBy>kelleher</cp:lastModifiedBy>
  <dcterms:modified xsi:type="dcterms:W3CDTF">2000-05-02T13:43:00Z</dcterms:modified>
  <cp:revision>2</cp:revision>
  <dc:subject/>
  <dc:title>Megan,</dc:title>
</cp:coreProperties>
</file>