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Ms. Rebecca W. Cantrell</w:t>
      </w:r>
    </w:p>
    <w:p>
      <w:pPr>
        <w:pStyle w:val="Normal"/>
        <w:rPr>
          <w:rFonts w:ascii="Arial" w:hAnsi="Arial" w:cs="Arial"/>
        </w:rPr>
      </w:pPr>
      <w:r>
        <w:rPr>
          <w:rFonts w:cs="Arial" w:ascii="Arial" w:hAnsi="Arial"/>
        </w:rPr>
        <w:t>Sr. Director, Government Affairs</w:t>
      </w:r>
    </w:p>
    <w:p>
      <w:pPr>
        <w:pStyle w:val="Normal"/>
        <w:rPr>
          <w:rFonts w:ascii="Arial" w:hAnsi="Arial" w:cs="Arial"/>
        </w:rPr>
      </w:pPr>
      <w:r>
        <w:rPr>
          <w:rFonts w:cs="Arial" w:ascii="Arial" w:hAnsi="Arial"/>
        </w:rPr>
        <w:t>Enron North America Corp.</w:t>
      </w:r>
    </w:p>
    <w:p>
      <w:pPr>
        <w:pStyle w:val="Normal"/>
        <w:rPr>
          <w:rFonts w:ascii="Arial" w:hAnsi="Arial" w:cs="Arial"/>
        </w:rPr>
      </w:pPr>
      <w:r>
        <w:rPr>
          <w:rFonts w:cs="Arial" w:ascii="Arial" w:hAnsi="Arial"/>
        </w:rPr>
        <w:t>P. O. Box 1188</w:t>
      </w:r>
    </w:p>
    <w:p>
      <w:pPr>
        <w:pStyle w:val="Normal"/>
        <w:rPr>
          <w:rFonts w:ascii="Arial" w:hAnsi="Arial" w:cs="Arial"/>
        </w:rPr>
      </w:pPr>
      <w:r>
        <w:rPr>
          <w:rFonts w:cs="Arial" w:ascii="Arial" w:hAnsi="Arial"/>
        </w:rPr>
        <w:t>Houston, Texas  77210-4428</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Ms. Cantrell:</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By letter dated August 31, 2001, Enron North America Corp. submitted informal data requests to El Paso Natural Gas Company as a result of the August 28, 2001 Technical Conference held at Docket Nos. RP00-336-000, et al.  Enclosed is the response to Request No. 1.  El Paso has not provided responses to Request Nos. 2 and 3, since these requests are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c:</w:t>
        <w:tab/>
        <w:t xml:space="preserve">Ms. Jane M. Tholt, Enron </w:t>
      </w:r>
    </w:p>
    <w:p>
      <w:pPr>
        <w:pStyle w:val="Normal"/>
        <w:ind w:firstLine="720" w:end="0"/>
        <w:jc w:val="both"/>
        <w:rPr>
          <w:rFonts w:ascii="Arial" w:hAnsi="Arial" w:cs="Arial"/>
        </w:rPr>
      </w:pPr>
      <w:r>
        <w:rPr>
          <w:rFonts w:cs="Arial" w:ascii="Arial" w:hAnsi="Arial"/>
        </w:rPr>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pStyle w:val="Normal"/>
        <w:jc w:val="both"/>
        <w:rPr>
          <w:rFonts w:ascii="Arial" w:hAnsi="Arial" w:cs="Arial"/>
        </w:rPr>
      </w:pPr>
      <w:r>
        <w:rPr>
          <w:rFonts w:cs="Arial" w:ascii="Arial" w:hAnsi="Arial"/>
        </w:rPr>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Heading1"/>
        <w:ind w:start="0" w:end="0"/>
        <w:jc w:val="center"/>
        <w:rPr>
          <w:sz w:val="24"/>
        </w:rPr>
      </w:pPr>
      <w:r>
        <w:rPr>
          <w:sz w:val="24"/>
        </w:rPr>
        <w:t xml:space="preserve">El Paso Natural Gas Company </w:t>
      </w:r>
    </w:p>
    <w:p>
      <w:pPr>
        <w:pStyle w:val="Heading1"/>
        <w:ind w:start="0" w:end="0"/>
        <w:jc w:val="center"/>
        <w:rPr>
          <w:b/>
          <w:bCs/>
          <w:sz w:val="24"/>
        </w:rPr>
      </w:pPr>
      <w:r>
        <w:rPr>
          <w:b/>
          <w:bCs/>
          <w:sz w:val="24"/>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u w:val="single"/>
        </w:rPr>
      </w:pPr>
      <w:r>
        <w:rPr>
          <w:rFonts w:cs="Arial" w:ascii="Arial" w:hAnsi="Arial"/>
          <w:u w:val="single"/>
        </w:rPr>
        <w:t>Requests of Enron North America Corp.</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BodyText2"/>
        <w:rPr>
          <w:rFonts w:ascii="Arial" w:hAnsi="Arial" w:cs="Arial"/>
          <w:sz w:val="24"/>
        </w:rPr>
      </w:pPr>
      <w:r>
        <w:rPr>
          <w:rFonts w:cs="Arial"/>
          <w:sz w:val="24"/>
        </w:rPr>
      </w:r>
    </w:p>
    <w:p>
      <w:pPr>
        <w:pStyle w:val="BodyText2"/>
        <w:rPr/>
      </w:pPr>
      <w:r>
        <w:rPr>
          <w:u w:val="single"/>
        </w:rPr>
        <w:t>Request No. 1</w:t>
      </w:r>
      <w:r>
        <w:rPr/>
        <w:t>:</w:t>
        <w:tab/>
        <w:t xml:space="preserve">Please specify the receipt points that are associated with each of the twenty pools that El Paso proposes to use for allocation of receipt point rights in this proceeding.  For each of the specified receipt points, please provide on a monthly basis the average daily volume of gas that was scheduled for receipt into El Paso’s system for each month from January 1, 2001 through August 31, 2001. </w:t>
      </w:r>
    </w:p>
    <w:p>
      <w:pPr>
        <w:pStyle w:val="BodyText2"/>
        <w:rPr/>
      </w:pPr>
      <w:r>
        <w:rPr/>
      </w:r>
    </w:p>
    <w:p>
      <w:pPr>
        <w:pStyle w:val="BodyText2"/>
        <w:rPr/>
      </w:pPr>
      <w:r>
        <w:rPr>
          <w:u w:val="single"/>
        </w:rPr>
        <w:t>Response No. 1</w:t>
      </w:r>
      <w:r>
        <w:rPr/>
        <w:t>:</w:t>
      </w:r>
    </w:p>
    <w:p>
      <w:pPr>
        <w:pStyle w:val="Heading1"/>
        <w:jc w:val="center"/>
        <w:rPr>
          <w:b/>
          <w:bCs/>
          <w:sz w:val="24"/>
        </w:rPr>
      </w:pPr>
      <w:r>
        <w:rPr>
          <w:b/>
          <w:bCs/>
          <w:sz w:val="24"/>
        </w:rPr>
      </w:r>
    </w:p>
    <w:p>
      <w:pPr>
        <w:pStyle w:val="BodyText2"/>
        <w:rPr/>
      </w:pPr>
      <w:r>
        <w:rPr/>
        <w:t xml:space="preserve">See the attached schedule.  For purposes of determining the average daily volume on a monthly basis, El Paso summed the daily scheduled quantities at each receipt point for a month and divided the total by the number of days in the particular month.   </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rPr>
  </w:style>
  <w:style w:type="paragraph" w:styleId="Level1">
    <w:name w:val="Level 1"/>
    <w:basedOn w:val="Normal"/>
    <w:qFormat/>
    <w:pPr>
      <w:widowControl w:val="false"/>
      <w:numPr>
        <w:ilvl w:val="0"/>
        <w:numId w:val="2"/>
      </w:numPr>
      <w:autoSpaceDE w:val="false"/>
      <w:ind w:hanging="720" w:start="1440" w:end="0"/>
      <w:outlineLvl w:val="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2001-05-11T15:28:00Z</cp:lastPrinted>
  <dcterms:modified xsi:type="dcterms:W3CDTF">2001-09-24T21:41:00Z</dcterms:modified>
  <cp:revision>33</cp:revision>
  <dc:subject/>
  <dc:title/>
</cp:coreProperties>
</file>