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start"/>
        <w:rPr>
          <w:sz w:val="21"/>
          <w:u w:val="none"/>
        </w:rPr>
      </w:pPr>
      <w:r>
        <w:rPr>
          <w:sz w:val="21"/>
          <w:u w:val="none"/>
        </w:rPr>
        <w:t xml:space="preserve">DRAFT </w:t>
      </w:r>
      <w:r>
        <w:rPr>
          <w:sz w:val="21"/>
          <w:u w:val="none"/>
        </w:rPr>
        <w:fldChar w:fldCharType="begin"/>
      </w:r>
      <w:r>
        <w:rPr>
          <w:sz w:val="21"/>
          <w:u w:val="none"/>
        </w:rPr>
        <w:instrText xml:space="preserve"> DATE \@"M\/d\/yy\ H:mm\ AM/PM" </w:instrText>
      </w:r>
      <w:r>
        <w:rPr>
          <w:sz w:val="21"/>
          <w:u w:val="none"/>
        </w:rPr>
        <w:fldChar w:fldCharType="separate"/>
      </w:r>
      <w:r>
        <w:rPr>
          <w:sz w:val="21"/>
          <w:u w:val="none"/>
        </w:rPr>
        <w:t>9/28/25 8:36 AM</w:t>
      </w:r>
      <w:r>
        <w:rPr>
          <w:sz w:val="21"/>
          <w:u w:val="none"/>
        </w:rPr>
        <w:fldChar w:fldCharType="end"/>
      </w:r>
    </w:p>
    <w:p>
      <w:pPr>
        <w:pStyle w:val="Normal"/>
        <w:rPr>
          <w:sz w:val="21"/>
          <w:u w:val="none"/>
        </w:rPr>
      </w:pPr>
      <w:r>
        <w:rPr>
          <w:sz w:val="21"/>
          <w:u w:val="none"/>
        </w:rPr>
      </w:r>
    </w:p>
    <w:p>
      <w:pPr>
        <w:pStyle w:val="Heading1"/>
        <w:ind w:hanging="0" w:start="0"/>
        <w:rPr>
          <w:sz w:val="21"/>
        </w:rPr>
      </w:pPr>
      <w:r>
        <w:rPr>
          <w:sz w:val="21"/>
        </w:rPr>
        <w:t xml:space="preserve">Medicine Bow Loop </w:t>
      </w:r>
    </w:p>
    <w:p>
      <w:pPr>
        <w:pStyle w:val="Heading1"/>
        <w:ind w:hanging="0" w:start="0"/>
        <w:rPr>
          <w:sz w:val="21"/>
        </w:rPr>
      </w:pPr>
      <w:r>
        <w:rPr>
          <w:sz w:val="21"/>
        </w:rPr>
        <w:t>Transportation Precedent Agreement</w:t>
      </w:r>
    </w:p>
    <w:p>
      <w:pPr>
        <w:pStyle w:val="Normal"/>
        <w:jc w:val="center"/>
        <w:rPr>
          <w:b/>
          <w:sz w:val="24"/>
          <w:u w:val="single"/>
        </w:rPr>
      </w:pPr>
      <w:r>
        <w:rPr>
          <w:b/>
          <w:sz w:val="24"/>
          <w:u w:val="single"/>
        </w:rPr>
      </w:r>
    </w:p>
    <w:p>
      <w:pPr>
        <w:pStyle w:val="BodyText"/>
        <w:ind w:firstLine="720" w:end="0"/>
        <w:rPr/>
      </w:pPr>
      <w:r>
        <w:rPr/>
        <w:t>This Medicine Bow Loop Transportation Precedent Agreement ("Loop Agreement") dated July ___, 2000, is between Wyoming Interstate Company, Ltd. (“WIC”) and Enron North America ("Enron").  In consideration of the mutual promises of the parties, WIC and Enron agree as follows:</w:t>
      </w:r>
    </w:p>
    <w:p>
      <w:pPr>
        <w:pStyle w:val="Normal"/>
        <w:rPr>
          <w:sz w:val="24"/>
        </w:rPr>
      </w:pPr>
      <w:r>
        <w:rPr>
          <w:sz w:val="24"/>
        </w:rPr>
      </w:r>
    </w:p>
    <w:p>
      <w:pPr>
        <w:pStyle w:val="Normal"/>
        <w:rPr/>
      </w:pPr>
      <w:r>
        <w:rPr>
          <w:sz w:val="24"/>
        </w:rPr>
        <w:t>1.</w:t>
        <w:tab/>
      </w:r>
      <w:r>
        <w:rPr>
          <w:b/>
          <w:sz w:val="24"/>
          <w:u w:val="single"/>
        </w:rPr>
        <w:t>Definitions.</w:t>
      </w:r>
      <w:r>
        <w:rPr>
          <w:sz w:val="24"/>
        </w:rPr>
        <w:t xml:space="preserve">  The capitalized terms used in this Loop Agreement have the meanings set forth on the attached Exhibit “A”.</w:t>
      </w:r>
    </w:p>
    <w:p>
      <w:pPr>
        <w:pStyle w:val="Normal"/>
        <w:rPr>
          <w:sz w:val="24"/>
        </w:rPr>
      </w:pPr>
      <w:r>
        <w:rPr>
          <w:sz w:val="24"/>
        </w:rPr>
      </w:r>
    </w:p>
    <w:p>
      <w:pPr>
        <w:pStyle w:val="BodyText"/>
        <w:rPr/>
      </w:pPr>
      <w:r>
        <w:rPr/>
        <w:t>2.</w:t>
        <w:tab/>
      </w:r>
      <w:r>
        <w:rPr>
          <w:b/>
          <w:u w:val="single"/>
        </w:rPr>
        <w:t>Medicine Bow Lateral Loop.</w:t>
      </w:r>
      <w:r>
        <w:rPr/>
        <w:t xml:space="preserve">  Subject to the terms and conditions of this Loop Agreement, WIC shall construct the Loop. </w:t>
      </w:r>
    </w:p>
    <w:p>
      <w:pPr>
        <w:pStyle w:val="BodyText"/>
        <w:rPr>
          <w:b/>
          <w:u w:val="single"/>
        </w:rPr>
      </w:pPr>
      <w:r>
        <w:rPr>
          <w:b/>
          <w:u w:val="single"/>
        </w:rPr>
      </w:r>
    </w:p>
    <w:p>
      <w:pPr>
        <w:pStyle w:val="BodyText"/>
        <w:ind w:hanging="720" w:start="720" w:end="0"/>
        <w:rPr/>
      </w:pPr>
      <w:r>
        <w:rPr/>
        <w:t>(a)</w:t>
        <w:tab/>
      </w:r>
      <w:r>
        <w:rPr>
          <w:b/>
          <w:u w:val="single"/>
        </w:rPr>
        <w:t>Capacity.</w:t>
      </w:r>
      <w:r>
        <w:rPr/>
        <w:t xml:space="preserve">  The capacity of the Loop shall be at least sufficient to accommodate Enron’s MDQ under the Loop FTSA as well as the MDQ of all Loop Shippers. WIC will file with the FERC in a timely manner for any necessary approvals to expand the capacity of the Loop to accommodate increases in Loop Shippers’ MDQs. </w:t>
      </w:r>
    </w:p>
    <w:p>
      <w:pPr>
        <w:pStyle w:val="BodyText"/>
        <w:ind w:hanging="720" w:start="720" w:end="0"/>
        <w:rPr/>
      </w:pPr>
      <w:r>
        <w:rPr/>
      </w:r>
    </w:p>
    <w:p>
      <w:pPr>
        <w:pStyle w:val="BodyText"/>
        <w:ind w:hanging="720" w:start="720" w:end="0"/>
        <w:rPr/>
      </w:pPr>
      <w:r>
        <w:rPr/>
        <w:t>(b)</w:t>
      </w:r>
      <w:r>
        <w:rPr>
          <w:b/>
        </w:rPr>
        <w:tab/>
      </w:r>
      <w:r>
        <w:rPr>
          <w:b/>
          <w:u w:val="single"/>
        </w:rPr>
        <w:t>Progress Dates.</w:t>
      </w:r>
      <w:r>
        <w:rPr/>
        <w:t xml:space="preserve">  Subject to the following and to the other provisions of this Loop Agreement, WIC shall make good faith efforts to achieve a Loop In-Service Date of December 1, 2001, subject to timely receipt by WIC of the FERC Certificate and all other necessary permits and authorizations for the construction and operation of the Loop.  If WIC does not achieve a Loop In-Service Date by June 1, 2002, Enron shall have the right, upon thirty (30) days’ written notice to WIC and subject to WIC’s right to cure during such notice period by achieving a Loop In-Service Date before the expiration of that 30-day period, to terminate this Loop Agreement and the Loop FTSA.  If WIC has not achieved such June 1, 2002, date but Enron does not provide such notice, such progress date shall be extended by successive periods of ninety (90) days, and – if WIC has not yet achieved such extended date(s) – at the end of each such ninety (90) day period, Enron may again exercise its termination rights.  Such termination rights shall be Enron's sole and exclusive remedy for WIC’s failure to achieve such date(s).</w:t>
      </w:r>
    </w:p>
    <w:p>
      <w:pPr>
        <w:pStyle w:val="BodyText"/>
        <w:rPr/>
      </w:pPr>
      <w:r>
        <w:rPr/>
      </w:r>
    </w:p>
    <w:p>
      <w:pPr>
        <w:pStyle w:val="BodyText"/>
        <w:numPr>
          <w:ilvl w:val="0"/>
          <w:numId w:val="3"/>
        </w:numPr>
        <w:rPr/>
      </w:pPr>
      <w:r>
        <w:rPr>
          <w:b/>
          <w:u w:val="single"/>
        </w:rPr>
        <w:t>Loop FTSA.</w:t>
      </w:r>
      <w:r>
        <w:rPr/>
        <w:t xml:space="preserve">  Subject to the other provisions of this Loop Agreement, Enron and WIC shall execute the Loop FTSA by no later than August 15, 2000.  The Loop FTSA shall be subject to the terms of WIC’s Tariff and shall further contain the following provisions:</w:t>
      </w:r>
    </w:p>
    <w:p>
      <w:pPr>
        <w:pStyle w:val="BodyText"/>
        <w:rPr>
          <w:b/>
          <w:u w:val="single"/>
        </w:rPr>
      </w:pPr>
      <w:r>
        <w:rPr>
          <w:b/>
          <w:u w:val="single"/>
        </w:rPr>
      </w:r>
    </w:p>
    <w:p>
      <w:pPr>
        <w:pStyle w:val="BodyText"/>
        <w:numPr>
          <w:ilvl w:val="0"/>
          <w:numId w:val="6"/>
        </w:numPr>
        <w:rPr/>
      </w:pPr>
      <w:r>
        <w:rPr>
          <w:b/>
          <w:u w:val="single"/>
        </w:rPr>
        <w:t>MDQ.</w:t>
      </w:r>
      <w:r>
        <w:rPr/>
        <w:t xml:space="preserve">  Subject to being awarded sufficient capacity, Enron's MDQ under the Loop FTSA shall be as set forth on the attached Exhibit “B”.</w:t>
        <w:tab/>
      </w:r>
    </w:p>
    <w:p>
      <w:pPr>
        <w:pStyle w:val="BodyText"/>
        <w:rPr/>
      </w:pPr>
      <w:r>
        <w:rPr/>
      </w:r>
    </w:p>
    <w:p>
      <w:pPr>
        <w:pStyle w:val="BodyText"/>
        <w:numPr>
          <w:ilvl w:val="0"/>
          <w:numId w:val="5"/>
        </w:numPr>
        <w:rPr/>
      </w:pPr>
      <w:r>
        <w:rPr>
          <w:b/>
          <w:u w:val="single"/>
        </w:rPr>
        <w:t>Initial Term.</w:t>
      </w:r>
      <w:r>
        <w:rPr/>
        <w:t xml:space="preserve"> The initial term of the Loop FTSA shall commence on the Loop In-Service Date and shall remain in effect for a period of ten (10) years after the first day of the month in which Enron MDQ reaches its maximum level as set forth on Exhibit "B". </w:t>
      </w:r>
    </w:p>
    <w:p>
      <w:pPr>
        <w:pStyle w:val="BodyText"/>
        <w:ind w:start="720" w:end="0"/>
        <w:rPr/>
      </w:pPr>
      <w:r>
        <w:rPr/>
      </w:r>
    </w:p>
    <w:p>
      <w:pPr>
        <w:pStyle w:val="BodyText"/>
        <w:numPr>
          <w:ilvl w:val="0"/>
          <w:numId w:val="5"/>
        </w:numPr>
        <w:rPr/>
      </w:pPr>
      <w:r>
        <w:rPr>
          <w:b/>
          <w:u w:val="single"/>
        </w:rPr>
        <w:t>Extended Term</w:t>
      </w:r>
      <w:r>
        <w:rPr>
          <w:b/>
        </w:rPr>
        <w:t xml:space="preserve">. </w:t>
      </w:r>
      <w:r>
        <w:rPr/>
        <w:t xml:space="preserve">Enron shall have the right, upon twenty-four (24) months’ written notice to WIC prior to the expiration of the initial term (with respect to any portion of its MDQ) or any extended term, to extend the term of the Loop FTSA by not less than two (2) years on the same terms and conditions as are extant at the end of the initial term. </w:t>
      </w:r>
    </w:p>
    <w:p>
      <w:pPr>
        <w:pStyle w:val="BodyText"/>
        <w:rPr/>
      </w:pPr>
      <w:r>
        <w:rPr/>
      </w:r>
    </w:p>
    <w:p>
      <w:pPr>
        <w:pStyle w:val="BodyText"/>
        <w:rPr/>
      </w:pPr>
      <w:r>
        <w:rPr/>
        <w:t>(c)</w:t>
        <w:tab/>
      </w:r>
      <w:r>
        <w:rPr>
          <w:b/>
          <w:u w:val="single"/>
        </w:rPr>
        <w:t>Rates and Surcharges</w:t>
      </w:r>
    </w:p>
    <w:p>
      <w:pPr>
        <w:pStyle w:val="BodyText"/>
        <w:rPr/>
      </w:pPr>
      <w:r>
        <w:rPr/>
      </w:r>
    </w:p>
    <w:p>
      <w:pPr>
        <w:pStyle w:val="BodyText"/>
        <w:ind w:hanging="720" w:start="1440" w:end="0"/>
        <w:rPr/>
      </w:pPr>
      <w:r>
        <w:rPr/>
        <w:t>(1)</w:t>
        <w:tab/>
      </w:r>
      <w:r>
        <w:rPr>
          <w:b/>
          <w:u w:val="single"/>
        </w:rPr>
        <w:t>Rates.</w:t>
      </w:r>
      <w:r>
        <w:rPr/>
        <w:t xml:space="preserve">  Enron's daily reservation rates shall be as set forth on the attached Exhibit “C”.</w:t>
      </w:r>
    </w:p>
    <w:p>
      <w:pPr>
        <w:pStyle w:val="BodyText"/>
        <w:ind w:hanging="720" w:start="1440" w:end="0"/>
        <w:rPr>
          <w:b/>
          <w:u w:val="single"/>
        </w:rPr>
      </w:pPr>
      <w:r>
        <w:rPr>
          <w:b/>
          <w:u w:val="single"/>
        </w:rPr>
      </w:r>
    </w:p>
    <w:p>
      <w:pPr>
        <w:pStyle w:val="BodyText"/>
        <w:ind w:hanging="720" w:start="1440" w:end="0"/>
        <w:rPr/>
      </w:pPr>
      <w:r>
        <w:rPr/>
        <w:t>(2)</w:t>
        <w:tab/>
      </w:r>
      <w:r>
        <w:rPr>
          <w:b/>
          <w:u w:val="single"/>
        </w:rPr>
        <w:t>Surcharges.</w:t>
      </w:r>
      <w:r>
        <w:rPr/>
        <w:t xml:space="preserve">  In addition to the reservation rate, Enron shall pay applicable fuel and L&amp;U charges, commodity charges, ACA and all other surcharges applicable to WIC’s Rate Schedule FT under WIC’s Tariff.  </w:t>
      </w:r>
    </w:p>
    <w:p>
      <w:pPr>
        <w:pStyle w:val="BodyText"/>
        <w:ind w:hanging="720" w:start="1440" w:end="0"/>
        <w:rPr>
          <w:b/>
          <w:u w:val="single"/>
        </w:rPr>
      </w:pPr>
      <w:r>
        <w:rPr>
          <w:b/>
          <w:u w:val="single"/>
        </w:rPr>
      </w:r>
    </w:p>
    <w:p>
      <w:pPr>
        <w:pStyle w:val="BodyText"/>
        <w:ind w:hanging="720" w:start="1440" w:end="0"/>
        <w:rPr/>
      </w:pPr>
      <w:r>
        <w:rPr/>
        <w:t>(3)</w:t>
        <w:tab/>
      </w:r>
      <w:r>
        <w:rPr>
          <w:b/>
          <w:u w:val="single"/>
        </w:rPr>
        <w:t>Negotiated Rates.</w:t>
      </w:r>
      <w:r>
        <w:rPr/>
        <w:t xml:space="preserve">  The parties agree that the rates payable under the FTSA (as set forth on Exhibit “C” of this Loop Agreement) are "negotiated rates" in accordance with the FERC's Policy Statements on negotiated rates and the applicable provisions of WIC's Tariff.  Should the FERC or a court determine, by order, change in policy or otherwise, that WIC may not collect the rates provided for herein, then the parties agree to enter into a substitute lawful arrangement such that the parties are placed in the same position as if WIC had collected such rates.</w:t>
      </w:r>
    </w:p>
    <w:p>
      <w:pPr>
        <w:pStyle w:val="BodyText"/>
        <w:rPr/>
      </w:pPr>
      <w:r>
        <w:rPr/>
      </w:r>
    </w:p>
    <w:p>
      <w:pPr>
        <w:pStyle w:val="BodyText"/>
        <w:ind w:hanging="720" w:start="1440" w:end="0"/>
        <w:rPr/>
      </w:pPr>
      <w:r>
        <w:rPr/>
        <w:t>(4)</w:t>
        <w:tab/>
      </w:r>
      <w:r>
        <w:rPr>
          <w:b/>
          <w:u w:val="single"/>
        </w:rPr>
        <w:t>Rates Upon Release or Assignment</w:t>
      </w:r>
      <w:r>
        <w:rPr>
          <w:b/>
        </w:rPr>
        <w:t xml:space="preserve">.  </w:t>
      </w:r>
      <w:r>
        <w:rPr/>
        <w:t xml:space="preserve"> The rates set forth herein shall remain applicable in the event Enron releases its capacity or assigns its rights and obligations under the Loop FTSA.  </w:t>
      </w:r>
    </w:p>
    <w:p>
      <w:pPr>
        <w:pStyle w:val="BodyText"/>
        <w:rPr/>
      </w:pPr>
      <w:r>
        <w:rPr/>
      </w:r>
    </w:p>
    <w:p>
      <w:pPr>
        <w:pStyle w:val="BodyText"/>
        <w:rPr/>
      </w:pPr>
      <w:r>
        <w:rPr/>
        <w:t>(d)</w:t>
        <w:tab/>
      </w:r>
      <w:r>
        <w:rPr>
          <w:b/>
          <w:u w:val="single"/>
        </w:rPr>
        <w:t>Points of Receipt and Delivery; Pressure.</w:t>
      </w:r>
    </w:p>
    <w:p>
      <w:pPr>
        <w:pStyle w:val="BodyText"/>
        <w:rPr>
          <w:b/>
          <w:u w:val="single"/>
        </w:rPr>
      </w:pPr>
      <w:r>
        <w:rPr>
          <w:b/>
          <w:u w:val="single"/>
        </w:rPr>
      </w:r>
    </w:p>
    <w:p>
      <w:pPr>
        <w:pStyle w:val="BodyText"/>
        <w:numPr>
          <w:ilvl w:val="0"/>
          <w:numId w:val="4"/>
        </w:numPr>
        <w:rPr/>
      </w:pPr>
      <w:r>
        <w:rPr>
          <w:b/>
          <w:u w:val="single"/>
        </w:rPr>
        <w:t>Primary Point of Receipt.</w:t>
      </w:r>
      <w:r>
        <w:rPr/>
        <w:t xml:space="preserve">  The Primary Point of receipt shall be the existing WIC meter stations in Section 33, Township 33N, Range 73W, Converse County, Wyoming.</w:t>
      </w:r>
    </w:p>
    <w:p>
      <w:pPr>
        <w:pStyle w:val="BodyText"/>
        <w:rPr/>
      </w:pPr>
      <w:r>
        <w:rPr/>
      </w:r>
    </w:p>
    <w:p>
      <w:pPr>
        <w:pStyle w:val="BodyText"/>
        <w:numPr>
          <w:ilvl w:val="0"/>
          <w:numId w:val="4"/>
        </w:numPr>
        <w:rPr/>
      </w:pPr>
      <w:r>
        <w:rPr>
          <w:b/>
          <w:u w:val="single"/>
        </w:rPr>
        <w:t>Primary Point of Delivery.</w:t>
      </w:r>
      <w:r>
        <w:rPr/>
        <w:t xml:space="preserve">  The Primary Point of Delivery shall be the terminus of WIC’s system at WIC's Cheyenne compressor station in Section 5, Township 11N, Range 66W, Weld County, Colorado. </w:t>
      </w:r>
    </w:p>
    <w:p>
      <w:pPr>
        <w:pStyle w:val="BodyText"/>
        <w:ind w:start="720" w:end="0"/>
        <w:rPr/>
      </w:pPr>
      <w:r>
        <w:rPr/>
      </w:r>
    </w:p>
    <w:p>
      <w:pPr>
        <w:pStyle w:val="BodyText"/>
        <w:numPr>
          <w:ilvl w:val="0"/>
          <w:numId w:val="4"/>
        </w:numPr>
        <w:rPr/>
      </w:pPr>
      <w:r>
        <w:rPr>
          <w:b/>
          <w:u w:val="single"/>
        </w:rPr>
        <w:t>Pressure at Points of Receipt.</w:t>
      </w:r>
      <w:r>
        <w:rPr>
          <w:b/>
        </w:rPr>
        <w:t xml:space="preserve">  </w:t>
      </w:r>
      <w:r>
        <w:rPr/>
        <w:t>Gas tendered to WIC shall be at a pressure sufficient to enter the Loop up to the maximum allowable operating pressure of the Loop, but such pressure requirement shall not exceed 1,015 pounds per square inch gage (psig).</w:t>
      </w:r>
    </w:p>
    <w:p>
      <w:pPr>
        <w:pStyle w:val="BodyText"/>
        <w:rPr>
          <w:b/>
          <w:u w:val="single"/>
        </w:rPr>
      </w:pPr>
      <w:r>
        <w:rPr>
          <w:b/>
          <w:u w:val="single"/>
        </w:rPr>
      </w:r>
    </w:p>
    <w:p>
      <w:pPr>
        <w:pStyle w:val="BodyText"/>
        <w:ind w:hanging="720" w:start="1440" w:end="0"/>
        <w:rPr/>
      </w:pPr>
      <w:r>
        <w:rPr/>
        <w:t>(4)</w:t>
        <w:tab/>
      </w:r>
      <w:r>
        <w:rPr>
          <w:b/>
          <w:u w:val="single"/>
        </w:rPr>
        <w:t>Btu.</w:t>
      </w:r>
      <w:r>
        <w:rPr/>
        <w:t xml:space="preserve">  Gas tendered to WIC for transportation under the Loop FTSA shall meet the provisions of Section 10.2 of the General Terms and Conditions of WIC's Tariff, which currently provides that the gas must have a minimum Gross Heating Value of not less than 950 Btu per cubic foot.</w:t>
        <w:tab/>
      </w:r>
    </w:p>
    <w:p>
      <w:pPr>
        <w:pStyle w:val="BodyText"/>
        <w:rPr/>
      </w:pPr>
      <w:r>
        <w:rPr/>
      </w:r>
    </w:p>
    <w:p>
      <w:pPr>
        <w:pStyle w:val="BodyText"/>
        <w:numPr>
          <w:ilvl w:val="0"/>
          <w:numId w:val="3"/>
        </w:numPr>
        <w:rPr/>
      </w:pPr>
      <w:r>
        <w:rPr>
          <w:b/>
          <w:u w:val="single"/>
        </w:rPr>
        <w:t>Conditions to WIC’s Obligations.</w:t>
      </w:r>
      <w:r>
        <w:rPr/>
        <w:t xml:space="preserve">  WIC’s obligations under this Loop Agreement and the Loop FTSA, are subject to:  (a) Enron providing evidence of creditworthiness satisfactory to WIC; (b) compliance by Enron with the terms of WIC’s Tariff; (c) receipt by WIC of any necessary FERC Certificate(s), as well as all other authorizations and permits required for the construction and operation of the Loop, all on terms satisfactory to WIC in its sole discretion; (d) the approval of the terms of this Loop Agreement by the Board of Directors of WIC’s general partner by July 26, 2000; and approval by the Board of Directors of The Coastal Corporation at the next available meeting; (e) if required, the approval of the terms of this Loop Agreement and the FTSA by WIC's lenders; (f) the execution by other Loop Shippers and WIC by July 14, 2000, and the approval thereof by such other Loop Shippers’ Boards of Directors by July 17, 2000, of firm transportation commitments which are sufficient, in WIC’s sole judgment, to support the construction of the Loop; and (g) satisfaction of the conditions to Enron performance set forth in Paragraph 5 of this Loop Agreement.</w:t>
      </w:r>
    </w:p>
    <w:p>
      <w:pPr>
        <w:pStyle w:val="BodyText"/>
        <w:rPr/>
      </w:pPr>
      <w:r>
        <w:rPr/>
      </w:r>
    </w:p>
    <w:p>
      <w:pPr>
        <w:pStyle w:val="BodyText"/>
        <w:numPr>
          <w:ilvl w:val="0"/>
          <w:numId w:val="3"/>
        </w:numPr>
        <w:rPr/>
      </w:pPr>
      <w:r>
        <w:rPr>
          <w:b/>
          <w:u w:val="single"/>
        </w:rPr>
        <w:t>Conditions to Enron’s Obligations.</w:t>
      </w:r>
      <w:r>
        <w:rPr>
          <w:b/>
        </w:rPr>
        <w:t xml:space="preserve">  </w:t>
      </w:r>
      <w:r>
        <w:rPr/>
        <w:t>Enron's obligations under this Loop Agreement are subject to:  (a) satisfaction of the conditions to WIC’s performance set forth in Paragraph 4 of this Loop Agreement; (b) the approval of the terms of this Loop Agreement by Enron's Board of Directors by July 17, 2000; and (c) issuance to WIC of a FERC Certificate which does not prevent WIC from complying in any material way with its obligations under this Loop Agreement and the Loop FTSA and which does not modify in any materially adverse way the service to be provided to Enron or the rates to be charged Enron under the Loop FTSA.  Provided however, if Enron believes that a FERC Certificate prevents WIC from complying with such obligations in a materially adverse way or modifies in a materially adverse way the services to be provided to Enron or the rates to be charged Enron under the Loop FTSA, then Enron shall notify WIC thereof in writing.  Upon receipt of such notice, WIC and Enron shall enter into good faith negotiations in an effort to reach agreement upon terms that keep the parties economically whole.  Enron may not rely on the provisions of this subparagraph (c) to avoid its obligations under this Loop Agreement unless, following such good faith negotiations, the parties are unable to reach such agreement within 60 days of Enron's notice.</w:t>
      </w:r>
    </w:p>
    <w:p>
      <w:pPr>
        <w:pStyle w:val="BodyText"/>
        <w:rPr/>
      </w:pPr>
      <w:r>
        <w:rPr/>
      </w:r>
    </w:p>
    <w:p>
      <w:pPr>
        <w:pStyle w:val="BodyText"/>
        <w:numPr>
          <w:ilvl w:val="0"/>
          <w:numId w:val="3"/>
        </w:numPr>
        <w:rPr/>
      </w:pPr>
      <w:r>
        <w:rPr>
          <w:b/>
          <w:u w:val="single"/>
        </w:rPr>
        <w:t>Notice.</w:t>
      </w:r>
      <w:r>
        <w:rPr/>
        <w:t xml:space="preserve">  All notices required or permitted under this Loop Agreement shall be in writing and shall be deemed to have been properly given or delivered when delivered personally, when sent by telefax or when sent by overnight delivery service, with all charges fully prepaid, and addressed to the parties hereto, respectively, as follows:</w:t>
      </w:r>
    </w:p>
    <w:p>
      <w:pPr>
        <w:pStyle w:val="BodyText"/>
        <w:rPr/>
      </w:pPr>
      <w:r>
        <w:rPr/>
      </w:r>
      <w:r>
        <w:br w:type="page"/>
      </w:r>
    </w:p>
    <w:p>
      <w:pPr>
        <w:pStyle w:val="BodyText"/>
        <w:ind w:start="1440" w:end="0"/>
        <w:rPr/>
      </w:pPr>
      <w:r>
        <w:rPr/>
        <w:t>WYOMING INTERSTATE COMPANY, LTD.</w:t>
      </w:r>
    </w:p>
    <w:p>
      <w:pPr>
        <w:pStyle w:val="BodyText"/>
        <w:ind w:start="1440" w:end="0"/>
        <w:rPr/>
      </w:pPr>
      <w:r>
        <w:rPr/>
        <w:t>2 North Nevada Ave.</w:t>
      </w:r>
    </w:p>
    <w:p>
      <w:pPr>
        <w:pStyle w:val="BodyText"/>
        <w:ind w:start="1440" w:end="0"/>
        <w:rPr/>
      </w:pPr>
      <w:r>
        <w:rPr/>
        <w:t>Colorado Springs, CO 80903</w:t>
      </w:r>
    </w:p>
    <w:p>
      <w:pPr>
        <w:pStyle w:val="BodyText"/>
        <w:ind w:start="1440" w:end="0"/>
        <w:rPr/>
      </w:pPr>
      <w:r>
        <w:rPr/>
        <w:tab/>
        <w:t>Attn.:  Thomas L. Price</w:t>
      </w:r>
    </w:p>
    <w:p>
      <w:pPr>
        <w:pStyle w:val="BodyText"/>
        <w:ind w:start="1440" w:end="0"/>
        <w:rPr/>
      </w:pPr>
      <w:r>
        <w:rPr/>
        <w:t>Fax:  (719) 520-4810</w:t>
      </w:r>
    </w:p>
    <w:p>
      <w:pPr>
        <w:pStyle w:val="BodyText"/>
        <w:ind w:start="1440" w:end="0"/>
        <w:rPr/>
      </w:pPr>
      <w:r>
        <w:rPr/>
      </w:r>
    </w:p>
    <w:p>
      <w:pPr>
        <w:pStyle w:val="BodyText"/>
        <w:ind w:start="1440" w:end="0"/>
        <w:rPr>
          <w:caps/>
        </w:rPr>
      </w:pPr>
      <w:r>
        <w:rPr>
          <w:caps/>
        </w:rPr>
        <w:t xml:space="preserve">Enron NORTH AMERICA </w:t>
      </w:r>
    </w:p>
    <w:p>
      <w:pPr>
        <w:pStyle w:val="BodyText"/>
        <w:ind w:start="1440" w:end="0"/>
        <w:rPr/>
      </w:pPr>
      <w:r>
        <w:rPr/>
        <w:t>1200 17</w:t>
      </w:r>
      <w:r>
        <w:rPr>
          <w:vertAlign w:val="superscript"/>
        </w:rPr>
        <w:t>th</w:t>
      </w:r>
      <w:r>
        <w:rPr/>
        <w:t xml:space="preserve"> Street, Suite 2750</w:t>
      </w:r>
    </w:p>
    <w:p>
      <w:pPr>
        <w:pStyle w:val="BodyText"/>
        <w:ind w:start="1440" w:end="0"/>
        <w:rPr/>
      </w:pPr>
      <w:r>
        <w:rPr/>
        <w:t>Denver, CO 80202</w:t>
      </w:r>
    </w:p>
    <w:p>
      <w:pPr>
        <w:pStyle w:val="BodyText"/>
        <w:ind w:start="1440" w:end="0"/>
        <w:rPr/>
      </w:pPr>
      <w:r>
        <w:rPr/>
        <w:tab/>
        <w:t>Attn.:  Mike Legler</w:t>
      </w:r>
    </w:p>
    <w:p>
      <w:pPr>
        <w:pStyle w:val="BodyText"/>
        <w:ind w:start="1440" w:end="0"/>
        <w:rPr/>
      </w:pPr>
      <w:r>
        <w:rPr/>
        <w:t>(303) 575-6488</w:t>
      </w:r>
    </w:p>
    <w:p>
      <w:pPr>
        <w:pStyle w:val="BodyText"/>
        <w:rPr/>
      </w:pPr>
      <w:r>
        <w:rPr/>
      </w:r>
    </w:p>
    <w:p>
      <w:pPr>
        <w:pStyle w:val="BodyText"/>
        <w:ind w:firstLine="720" w:end="0"/>
        <w:rPr/>
      </w:pPr>
      <w:r>
        <w:rPr/>
        <w:t>Each party has the right to change its address for all purposes of this Loop Agreement by notifying the other party thereof in writing.</w:t>
      </w:r>
    </w:p>
    <w:p>
      <w:pPr>
        <w:pStyle w:val="BodyText"/>
        <w:rPr/>
      </w:pPr>
      <w:r>
        <w:rPr/>
      </w:r>
    </w:p>
    <w:p>
      <w:pPr>
        <w:pStyle w:val="BodyText"/>
        <w:rPr/>
      </w:pPr>
      <w:r>
        <w:rPr/>
        <w:t>7.</w:t>
        <w:tab/>
      </w:r>
      <w:r>
        <w:rPr>
          <w:b/>
          <w:u w:val="single"/>
        </w:rPr>
        <w:t xml:space="preserve">Assignment.  </w:t>
      </w:r>
      <w:r>
        <w:rPr/>
        <w:t>Neither party may assign its rights or obligations under this Loop Agreement without the written consent of the other party, which consent shall not be unreasonably withheld.  Assignment of the Loop FTSA shall be governed by the terms of WIC’s Tariff.</w:t>
      </w:r>
    </w:p>
    <w:p>
      <w:pPr>
        <w:pStyle w:val="BodyText"/>
        <w:rPr/>
      </w:pPr>
      <w:r>
        <w:rPr/>
      </w:r>
    </w:p>
    <w:p>
      <w:pPr>
        <w:pStyle w:val="BodyText"/>
        <w:rPr/>
      </w:pPr>
      <w:r>
        <w:rPr/>
        <w:t>8.</w:t>
        <w:tab/>
      </w:r>
      <w:r>
        <w:rPr>
          <w:b/>
          <w:u w:val="single"/>
        </w:rPr>
        <w:t>Term of this Loop Agreement.</w:t>
      </w:r>
      <w:r>
        <w:rPr/>
        <w:t xml:space="preserve">  This Loop Agreement shall be effective on the date hereof and, unless terminated earlier in accordance with the terms hereof, shall remain in effect until the termination of the Loop FTSA.</w:t>
      </w:r>
    </w:p>
    <w:p>
      <w:pPr>
        <w:pStyle w:val="BodyText"/>
        <w:rPr/>
      </w:pPr>
      <w:r>
        <w:rPr/>
      </w:r>
    </w:p>
    <w:p>
      <w:pPr>
        <w:pStyle w:val="BodyText"/>
        <w:rPr/>
      </w:pPr>
      <w:r>
        <w:rPr/>
        <w:t>9.</w:t>
        <w:tab/>
      </w:r>
      <w:r>
        <w:rPr>
          <w:b/>
          <w:u w:val="single"/>
        </w:rPr>
        <w:t>Offer Expiration Date.</w:t>
      </w:r>
      <w:r>
        <w:rPr/>
        <w:t xml:space="preserve">  The offer by WIC to Enron set forth in this Loop Agreement shall expire on July 14, 2000, unless WIC and Enron have executed this Loop Agreement by such date.</w:t>
      </w:r>
    </w:p>
    <w:p>
      <w:pPr>
        <w:pStyle w:val="BodyText"/>
        <w:rPr/>
      </w:pPr>
      <w:r>
        <w:rPr/>
      </w:r>
    </w:p>
    <w:p>
      <w:pPr>
        <w:pStyle w:val="BodyText"/>
        <w:rPr/>
      </w:pPr>
      <w:r>
        <w:rPr/>
        <w:t>10,</w:t>
        <w:tab/>
      </w:r>
      <w:r>
        <w:rPr>
          <w:b/>
          <w:u w:val="single"/>
        </w:rPr>
        <w:t>Applicable Law.</w:t>
      </w:r>
      <w:r>
        <w:rPr/>
        <w:t xml:space="preserve">  THIS LOOP AGREEMENT AND THE LEGAL RELATIONS BETWEEN THE PARTIES WITH RESPECT TO SUCH LOOP AGREEMENT ARE SUBJECT TOALL APPLICABLE LAWS, RULES AND REGULATIONS AND SHALL BE GOVERNED AND CONSTRUED IN ACCORDANCE WITH THE LAWS OF THE STATE OF COLORADO WITHOUT REGARD TO RULES CONCERNING CONFLICTS OF LAWS.</w:t>
      </w:r>
    </w:p>
    <w:p>
      <w:pPr>
        <w:pStyle w:val="BodyText"/>
        <w:rPr/>
      </w:pPr>
      <w:r>
        <w:rPr/>
      </w:r>
    </w:p>
    <w:p>
      <w:pPr>
        <w:pStyle w:val="BodyText"/>
        <w:rPr/>
      </w:pPr>
      <w:r>
        <w:rPr/>
        <w:t>Executed as of the date first above written.</w:t>
      </w:r>
    </w:p>
    <w:p>
      <w:pPr>
        <w:pStyle w:val="BodyText"/>
        <w:rPr/>
      </w:pPr>
      <w:r>
        <w:rPr/>
      </w:r>
    </w:p>
    <w:p>
      <w:pPr>
        <w:pStyle w:val="BodyText"/>
        <w:rPr/>
      </w:pPr>
      <w:r>
        <w:rPr/>
        <w:t>WYOMING INTERSTATE COMPANY, LTD.</w:t>
      </w:r>
    </w:p>
    <w:p>
      <w:pPr>
        <w:pStyle w:val="BodyText"/>
        <w:rPr/>
      </w:pPr>
      <w:r>
        <w:rPr/>
        <w:t>By:  CIG Gas Supply Company</w:t>
      </w:r>
    </w:p>
    <w:p>
      <w:pPr>
        <w:pStyle w:val="BodyText"/>
        <w:rPr/>
      </w:pPr>
      <w:r>
        <w:rPr/>
        <w:t>General Partner</w:t>
      </w:r>
    </w:p>
    <w:p>
      <w:pPr>
        <w:pStyle w:val="BodyText"/>
        <w:rPr/>
      </w:pPr>
      <w:r>
        <w:rPr/>
      </w:r>
    </w:p>
    <w:p>
      <w:pPr>
        <w:pStyle w:val="BodyText"/>
        <w:rPr/>
      </w:pPr>
      <w:r>
        <w:rPr/>
      </w:r>
    </w:p>
    <w:p>
      <w:pPr>
        <w:pStyle w:val="BodyText"/>
        <w:rPr/>
      </w:pPr>
      <w:r>
        <w:rPr/>
        <w:t>By: _____________________________________</w:t>
      </w:r>
    </w:p>
    <w:p>
      <w:pPr>
        <w:pStyle w:val="BodyText"/>
        <w:rPr/>
      </w:pPr>
      <w:r>
        <w:rPr/>
        <w:tab/>
        <w:t>Donald J. Zinko</w:t>
      </w:r>
    </w:p>
    <w:p>
      <w:pPr>
        <w:pStyle w:val="BodyText"/>
        <w:rPr/>
      </w:pPr>
      <w:r>
        <w:rPr/>
        <w:tab/>
        <w:t>Senior Vice President</w:t>
      </w:r>
    </w:p>
    <w:p>
      <w:pPr>
        <w:pStyle w:val="BodyText"/>
        <w:rPr/>
      </w:pPr>
      <w:r>
        <w:rPr/>
      </w:r>
    </w:p>
    <w:p>
      <w:pPr>
        <w:pStyle w:val="BodyText"/>
        <w:rPr>
          <w:caps/>
        </w:rPr>
      </w:pPr>
      <w:r>
        <w:rPr>
          <w:caps/>
        </w:rPr>
      </w:r>
    </w:p>
    <w:p>
      <w:pPr>
        <w:pStyle w:val="BodyText"/>
        <w:rPr/>
      </w:pPr>
      <w:r>
        <w:rPr>
          <w:caps/>
        </w:rPr>
        <w:t>Enron NORTH AMERICA</w:t>
      </w:r>
      <w:r>
        <w:rPr/>
        <w:t xml:space="preserve"> </w:t>
      </w:r>
    </w:p>
    <w:p>
      <w:pPr>
        <w:pStyle w:val="BodyText"/>
        <w:rPr/>
      </w:pPr>
      <w:r>
        <w:rPr/>
      </w:r>
    </w:p>
    <w:p>
      <w:pPr>
        <w:pStyle w:val="BodyText"/>
        <w:rPr/>
      </w:pPr>
      <w:r>
        <w:rPr/>
      </w:r>
    </w:p>
    <w:p>
      <w:pPr>
        <w:pStyle w:val="BodyText"/>
        <w:rPr/>
      </w:pPr>
      <w:r>
        <w:rPr/>
        <w:t>By:  ______________________________________</w:t>
      </w:r>
    </w:p>
    <w:p>
      <w:pPr>
        <w:pStyle w:val="BodyText"/>
        <w:rPr/>
      </w:pPr>
      <w:r>
        <w:rPr/>
        <w:t>Name:  __________________________________</w:t>
      </w:r>
    </w:p>
    <w:p>
      <w:pPr>
        <w:pStyle w:val="BodyText"/>
        <w:rPr/>
      </w:pPr>
      <w:r>
        <w:rPr/>
        <w:t>Title:   __________________________________</w:t>
      </w:r>
      <w:r>
        <w:br w:type="page"/>
      </w:r>
    </w:p>
    <w:p>
      <w:pPr>
        <w:pStyle w:val="Heading"/>
        <w:rPr/>
      </w:pPr>
      <w:r>
        <w:rPr/>
        <w:t>Exhibit A – DEFINED TERMS</w:t>
      </w:r>
    </w:p>
    <w:p>
      <w:pPr>
        <w:pStyle w:val="Normal"/>
        <w:rPr>
          <w:b/>
          <w:sz w:val="24"/>
        </w:rPr>
      </w:pPr>
      <w:r>
        <w:rPr>
          <w:b/>
          <w:sz w:val="24"/>
        </w:rPr>
      </w:r>
    </w:p>
    <w:p>
      <w:pPr>
        <w:pStyle w:val="Normal"/>
        <w:rPr>
          <w:sz w:val="24"/>
        </w:rPr>
      </w:pPr>
      <w:r>
        <w:rPr>
          <w:sz w:val="24"/>
        </w:rPr>
        <w:t>In addition to those terms defined in the Loop Agreement, the following terms used in the Loop Agreement have the meanings indicated:</w:t>
      </w:r>
    </w:p>
    <w:p>
      <w:pPr>
        <w:pStyle w:val="Normal"/>
        <w:rPr>
          <w:sz w:val="24"/>
        </w:rPr>
      </w:pPr>
      <w:r>
        <w:rPr>
          <w:sz w:val="24"/>
        </w:rPr>
      </w:r>
    </w:p>
    <w:p>
      <w:pPr>
        <w:pStyle w:val="Normal"/>
        <w:rPr>
          <w:sz w:val="24"/>
        </w:rPr>
      </w:pPr>
      <w:r>
        <w:rPr>
          <w:sz w:val="24"/>
        </w:rPr>
        <w:t xml:space="preserve">"Cumulative MDQ Volumes" means the cumulative MDQ volumes during the period prior to the date that is four years from the Loop In-Service Date committed to by all Loop Shippers. </w:t>
      </w:r>
    </w:p>
    <w:p>
      <w:pPr>
        <w:pStyle w:val="Normal"/>
        <w:rPr>
          <w:sz w:val="24"/>
        </w:rPr>
      </w:pPr>
      <w:r>
        <w:rPr>
          <w:sz w:val="24"/>
        </w:rPr>
      </w:r>
    </w:p>
    <w:p>
      <w:pPr>
        <w:pStyle w:val="Normal"/>
        <w:rPr>
          <w:sz w:val="24"/>
        </w:rPr>
      </w:pPr>
      <w:r>
        <w:rPr>
          <w:sz w:val="24"/>
        </w:rPr>
        <w:t>“</w:t>
      </w:r>
      <w:r>
        <w:rPr>
          <w:sz w:val="24"/>
        </w:rPr>
        <w:t>FERC” means the Federal Energy Regulatory Commission.</w:t>
      </w:r>
    </w:p>
    <w:p>
      <w:pPr>
        <w:pStyle w:val="Normal"/>
        <w:rPr>
          <w:sz w:val="24"/>
        </w:rPr>
      </w:pPr>
      <w:r>
        <w:rPr>
          <w:sz w:val="24"/>
        </w:rPr>
      </w:r>
    </w:p>
    <w:p>
      <w:pPr>
        <w:pStyle w:val="Normal"/>
        <w:rPr>
          <w:sz w:val="24"/>
        </w:rPr>
      </w:pPr>
      <w:r>
        <w:rPr>
          <w:sz w:val="24"/>
        </w:rPr>
        <w:t>“</w:t>
      </w:r>
      <w:r>
        <w:rPr>
          <w:sz w:val="24"/>
        </w:rPr>
        <w:t>FERC Certificate” means a certificate of public convenience and necessity issued by the FERC for the construction and operation of the Loop, as such certificate may be amended.</w:t>
      </w:r>
    </w:p>
    <w:p>
      <w:pPr>
        <w:pStyle w:val="Normal"/>
        <w:rPr>
          <w:sz w:val="24"/>
        </w:rPr>
      </w:pPr>
      <w:r>
        <w:rPr>
          <w:sz w:val="24"/>
        </w:rPr>
      </w:r>
    </w:p>
    <w:p>
      <w:pPr>
        <w:pStyle w:val="Normal"/>
        <w:rPr>
          <w:sz w:val="24"/>
        </w:rPr>
      </w:pPr>
      <w:r>
        <w:rPr>
          <w:sz w:val="24"/>
        </w:rPr>
        <w:t>“</w:t>
      </w:r>
      <w:r>
        <w:rPr>
          <w:sz w:val="24"/>
        </w:rPr>
        <w:t>FERC Filing Date” is the date WIC files the initial application, substantially complete, for the FERC Certificate.</w:t>
      </w:r>
    </w:p>
    <w:p>
      <w:pPr>
        <w:pStyle w:val="Normal"/>
        <w:rPr>
          <w:sz w:val="24"/>
        </w:rPr>
      </w:pPr>
      <w:r>
        <w:rPr>
          <w:sz w:val="24"/>
        </w:rPr>
      </w:r>
    </w:p>
    <w:p>
      <w:pPr>
        <w:pStyle w:val="Normal"/>
        <w:rPr>
          <w:sz w:val="24"/>
        </w:rPr>
      </w:pPr>
      <w:r>
        <w:rPr>
          <w:sz w:val="24"/>
        </w:rPr>
        <w:t>"Individual Shipper's MDQ" means 100 MDth/day as denoted on Exhibit B.</w:t>
      </w:r>
    </w:p>
    <w:p>
      <w:pPr>
        <w:pStyle w:val="Normal"/>
        <w:rPr>
          <w:sz w:val="24"/>
        </w:rPr>
      </w:pPr>
      <w:r>
        <w:rPr>
          <w:sz w:val="24"/>
        </w:rPr>
      </w:r>
    </w:p>
    <w:p>
      <w:pPr>
        <w:pStyle w:val="Normal"/>
        <w:rPr>
          <w:sz w:val="24"/>
        </w:rPr>
      </w:pPr>
      <w:r>
        <w:rPr>
          <w:sz w:val="24"/>
        </w:rPr>
        <w:t xml:space="preserve">"Initial Loop Shipper(s)" means a Loop Shipper that, prior to the FERC Filing Date, executes an agreement for firm transportation capacity on the Loop.    </w:t>
      </w:r>
    </w:p>
    <w:p>
      <w:pPr>
        <w:pStyle w:val="Normal"/>
        <w:rPr>
          <w:sz w:val="24"/>
        </w:rPr>
      </w:pPr>
      <w:r>
        <w:rPr>
          <w:sz w:val="24"/>
        </w:rPr>
        <w:t xml:space="preserve"> </w:t>
      </w:r>
    </w:p>
    <w:p>
      <w:pPr>
        <w:pStyle w:val="Normal"/>
        <w:rPr/>
      </w:pPr>
      <w:r>
        <w:rPr>
          <w:sz w:val="24"/>
        </w:rPr>
        <w:t>"Loop" means new gas transmission facilities extending from the meter stations in Section 33, Township 33N, Range 73W, Converse County, Wyoming, along a diagonal path to an interconnection with WIC’s mainline and then parallel to the mainline to the terminus at WIC’s Cheyenne compressor station in Section 5, Township 11N, Range 66W, Weld County, Colorado, which facilities provide for total capacity along the path of the Medicine Bow Lateral in excess of 380 MDth/day.</w:t>
      </w:r>
      <w:r>
        <w:rPr>
          <w:b/>
          <w:sz w:val="24"/>
        </w:rPr>
        <w:t xml:space="preserve"> </w:t>
      </w:r>
    </w:p>
    <w:p>
      <w:pPr>
        <w:pStyle w:val="Normal"/>
        <w:rPr>
          <w:sz w:val="24"/>
        </w:rPr>
      </w:pPr>
      <w:r>
        <w:rPr>
          <w:sz w:val="24"/>
        </w:rPr>
        <w:t xml:space="preserve">. </w:t>
      </w:r>
    </w:p>
    <w:p>
      <w:pPr>
        <w:pStyle w:val="Normal"/>
        <w:rPr>
          <w:sz w:val="24"/>
        </w:rPr>
      </w:pPr>
      <w:r>
        <w:rPr>
          <w:sz w:val="24"/>
        </w:rPr>
        <w:t xml:space="preserve"> “</w:t>
      </w:r>
      <w:r>
        <w:rPr>
          <w:sz w:val="24"/>
        </w:rPr>
        <w:t>Loop FTSA” is a Firm Transportation Service Agreement pursuant to WIC’s Rate Schedule FT in WIC’s Tariff for transportation capacity on the Loop. The Loop FTSA shall be substantially in the form of the attached Exhibit “D”, but modified to reflect the transportation service provisions of this Loop Agreement.</w:t>
      </w:r>
    </w:p>
    <w:p>
      <w:pPr>
        <w:pStyle w:val="Normal"/>
        <w:rPr>
          <w:sz w:val="24"/>
        </w:rPr>
      </w:pPr>
      <w:r>
        <w:rPr>
          <w:sz w:val="24"/>
        </w:rPr>
      </w:r>
    </w:p>
    <w:p>
      <w:pPr>
        <w:pStyle w:val="Normal"/>
        <w:rPr>
          <w:sz w:val="24"/>
        </w:rPr>
      </w:pPr>
      <w:r>
        <w:rPr>
          <w:sz w:val="24"/>
        </w:rPr>
        <w:t>“</w:t>
      </w:r>
      <w:r>
        <w:rPr>
          <w:sz w:val="24"/>
        </w:rPr>
        <w:t>Loop In-Service Date” is the first day of the month following the date the Loop is completed and ready for service.</w:t>
      </w:r>
    </w:p>
    <w:p>
      <w:pPr>
        <w:pStyle w:val="Normal"/>
        <w:rPr>
          <w:sz w:val="24"/>
        </w:rPr>
      </w:pPr>
      <w:r>
        <w:rPr>
          <w:sz w:val="24"/>
        </w:rPr>
      </w:r>
    </w:p>
    <w:p>
      <w:pPr>
        <w:pStyle w:val="Normal"/>
        <w:rPr>
          <w:sz w:val="24"/>
        </w:rPr>
      </w:pPr>
      <w:r>
        <w:rPr>
          <w:sz w:val="24"/>
        </w:rPr>
        <w:t xml:space="preserve">"Loop Shippers" means any party that has executed an agreement for firm transportation capacity on the Loop.    </w:t>
      </w:r>
    </w:p>
    <w:p>
      <w:pPr>
        <w:pStyle w:val="Normal"/>
        <w:rPr>
          <w:sz w:val="24"/>
        </w:rPr>
      </w:pPr>
      <w:r>
        <w:rPr>
          <w:sz w:val="24"/>
        </w:rPr>
      </w:r>
    </w:p>
    <w:p>
      <w:pPr>
        <w:pStyle w:val="Normal"/>
        <w:rPr>
          <w:sz w:val="24"/>
        </w:rPr>
      </w:pPr>
      <w:r>
        <w:rPr>
          <w:sz w:val="24"/>
        </w:rPr>
        <w:t>“</w:t>
      </w:r>
      <w:r>
        <w:rPr>
          <w:sz w:val="24"/>
        </w:rPr>
        <w:t>MDQ” means, as set forth in WIC’s Tariff, Maximum Delivery Quantity.</w:t>
      </w:r>
    </w:p>
    <w:p>
      <w:pPr>
        <w:pStyle w:val="Normal"/>
        <w:rPr>
          <w:sz w:val="24"/>
        </w:rPr>
      </w:pPr>
      <w:r>
        <w:rPr>
          <w:sz w:val="24"/>
        </w:rPr>
      </w:r>
    </w:p>
    <w:p>
      <w:pPr>
        <w:pStyle w:val="Normal"/>
        <w:rPr/>
      </w:pPr>
      <w:r>
        <w:rPr>
          <w:sz w:val="24"/>
        </w:rPr>
        <w:t>“</w:t>
      </w:r>
      <w:r>
        <w:rPr>
          <w:sz w:val="24"/>
        </w:rPr>
        <w:t>Medicine Bow Lateral” means WIC's existing gas transmission facilities extending from the meter stations in Section 33, Township 33N, Range 73W, Converse County, Wyoming, along a diagonal path to an interconnection with WIC’s mainline in Section 28, Township 12N, Range 67W, Weld County, Colorado, as the same may be modified by the addition of compression to create a total capacity of up to 380 MDth/day.</w:t>
      </w:r>
      <w:r>
        <w:rPr>
          <w:b/>
          <w:sz w:val="24"/>
        </w:rPr>
        <w:t xml:space="preserve"> </w:t>
      </w:r>
    </w:p>
    <w:p>
      <w:pPr>
        <w:pStyle w:val="Normal"/>
        <w:rPr>
          <w:b/>
          <w:sz w:val="24"/>
        </w:rPr>
      </w:pPr>
      <w:r>
        <w:rPr>
          <w:b/>
          <w:sz w:val="24"/>
        </w:rPr>
      </w:r>
    </w:p>
    <w:p>
      <w:pPr>
        <w:pStyle w:val="Normal"/>
        <w:rPr/>
      </w:pPr>
      <w:r>
        <w:rPr>
          <w:b/>
          <w:sz w:val="24"/>
        </w:rPr>
        <w:t>"</w:t>
      </w:r>
      <w:r>
        <w:rPr>
          <w:sz w:val="24"/>
        </w:rPr>
        <w:t xml:space="preserve">Ramp Up Period" means the period of time commencing on the Loop In-Service Date and ending on the last day of the month before the month when Enron first achieves its Individual Shipper's MDQ volume. </w:t>
      </w:r>
    </w:p>
    <w:p>
      <w:pPr>
        <w:pStyle w:val="Normal"/>
        <w:rPr>
          <w:sz w:val="24"/>
        </w:rPr>
      </w:pPr>
      <w:r>
        <w:rPr>
          <w:sz w:val="24"/>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Normal"/>
        <w:rPr>
          <w:sz w:val="24"/>
        </w:rPr>
      </w:pPr>
      <w:r>
        <w:rPr>
          <w:sz w:val="24"/>
        </w:rPr>
        <w:t xml:space="preserve"> “</w:t>
      </w:r>
      <w:r>
        <w:rPr>
          <w:sz w:val="24"/>
        </w:rPr>
        <w:t xml:space="preserve">WIC’s Tariff” means WIC’s FERC Gas Tariff Second Revised Volume No. 2, as the same may be amended or superseded from time to time. </w:t>
      </w:r>
    </w:p>
    <w:p>
      <w:pPr>
        <w:pStyle w:val="Normal"/>
        <w:rPr>
          <w:sz w:val="24"/>
        </w:rPr>
      </w:pPr>
      <w:r>
        <w:rPr>
          <w:sz w:val="24"/>
        </w:rPr>
      </w:r>
    </w:p>
    <w:p>
      <w:pPr>
        <w:pStyle w:val="Heading"/>
        <w:rPr>
          <w:sz w:val="28"/>
        </w:rPr>
      </w:pPr>
      <w:r>
        <w:rPr>
          <w:sz w:val="28"/>
        </w:rPr>
        <w:t xml:space="preserve">Exhibit B </w:t>
      </w:r>
    </w:p>
    <w:p>
      <w:pPr>
        <w:pStyle w:val="Heading"/>
        <w:rPr>
          <w:sz w:val="28"/>
        </w:rPr>
      </w:pPr>
      <w:r>
        <w:rPr>
          <w:sz w:val="28"/>
        </w:rPr>
        <w:t xml:space="preserve"> </w:t>
      </w:r>
      <w:r>
        <w:rPr>
          <w:sz w:val="28"/>
        </w:rPr>
        <w:t>Enron’s MDQ</w:t>
      </w:r>
    </w:p>
    <w:p>
      <w:pPr>
        <w:pStyle w:val="Normal"/>
        <w:jc w:val="center"/>
        <w:rPr>
          <w:b/>
          <w:sz w:val="28"/>
        </w:rPr>
      </w:pPr>
      <w:r>
        <w:rPr>
          <w:b/>
          <w:sz w:val="28"/>
        </w:rPr>
      </w:r>
    </w:p>
    <w:tbl>
      <w:tblPr>
        <w:tblW w:w="13331" w:type="dxa"/>
        <w:jc w:val="start"/>
        <w:tblInd w:w="-162" w:type="dxa"/>
        <w:tblLayout w:type="fixed"/>
        <w:tblCellMar>
          <w:top w:w="0" w:type="dxa"/>
          <w:start w:w="108" w:type="dxa"/>
          <w:bottom w:w="0" w:type="dxa"/>
          <w:end w:w="108" w:type="dxa"/>
        </w:tblCellMar>
      </w:tblPr>
      <w:tblGrid>
        <w:gridCol w:w="1170"/>
        <w:gridCol w:w="1018"/>
        <w:gridCol w:w="1013"/>
        <w:gridCol w:w="1013"/>
        <w:gridCol w:w="1013"/>
        <w:gridCol w:w="1013"/>
        <w:gridCol w:w="1013"/>
        <w:gridCol w:w="1013"/>
        <w:gridCol w:w="1013"/>
        <w:gridCol w:w="1013"/>
        <w:gridCol w:w="1013"/>
        <w:gridCol w:w="1013"/>
        <w:gridCol w:w="1013"/>
      </w:tblGrid>
      <w:tr>
        <w:trPr>
          <w:trHeight w:val="611" w:hRule="atLeast"/>
        </w:trPr>
        <w:tc>
          <w:tcPr>
            <w:tcW w:w="1170" w:type="dxa"/>
            <w:vMerge w:val="restart"/>
            <w:tcBorders>
              <w:top w:val="double" w:sz="4" w:space="0" w:color="000000"/>
              <w:start w:val="double" w:sz="4" w:space="0" w:color="000000"/>
              <w:bottom w:val="single" w:sz="4" w:space="0" w:color="000000"/>
              <w:end w:val="double" w:sz="4" w:space="0" w:color="000000"/>
            </w:tcBorders>
            <w:vAlign w:val="center"/>
          </w:tcPr>
          <w:p>
            <w:pPr>
              <w:pStyle w:val="Subtitle"/>
              <w:rPr/>
            </w:pPr>
            <w:r>
              <w:rPr/>
              <w:t>YEAR</w:t>
            </w:r>
          </w:p>
        </w:tc>
        <w:tc>
          <w:tcPr>
            <w:tcW w:w="12161" w:type="dxa"/>
            <w:gridSpan w:val="12"/>
            <w:tcBorders>
              <w:top w:val="double" w:sz="4" w:space="0" w:color="000000"/>
              <w:bottom w:val="double" w:sz="4" w:space="0" w:color="000000"/>
              <w:end w:val="double" w:sz="4" w:space="0" w:color="000000"/>
            </w:tcBorders>
            <w:vAlign w:val="center"/>
          </w:tcPr>
          <w:p>
            <w:pPr>
              <w:pStyle w:val="Heading1"/>
              <w:ind w:hanging="0" w:start="0"/>
              <w:rPr/>
            </w:pPr>
            <w:r>
              <w:rPr/>
              <w:t>MDth/day</w:t>
            </w:r>
          </w:p>
        </w:tc>
      </w:tr>
      <w:tr>
        <w:trPr>
          <w:trHeight w:val="1160" w:hRule="atLeast"/>
        </w:trPr>
        <w:tc>
          <w:tcPr>
            <w:tcW w:w="1170" w:type="dxa"/>
            <w:vMerge w:val="continue"/>
            <w:tcBorders>
              <w:top w:val="double" w:sz="4" w:space="0" w:color="000000"/>
              <w:start w:val="double" w:sz="4" w:space="0" w:color="000000"/>
              <w:bottom w:val="single" w:sz="4" w:space="0" w:color="000000"/>
              <w:end w:val="double" w:sz="4" w:space="0" w:color="000000"/>
            </w:tcBorders>
            <w:vAlign w:val="center"/>
          </w:tcPr>
          <w:p>
            <w:pPr>
              <w:pStyle w:val="Normal"/>
              <w:snapToGrid w:val="false"/>
              <w:jc w:val="center"/>
              <w:rPr>
                <w:b/>
                <w:sz w:val="28"/>
              </w:rPr>
            </w:pPr>
            <w:r>
              <w:rPr>
                <w:b/>
                <w:sz w:val="28"/>
              </w:rPr>
            </w:r>
          </w:p>
        </w:tc>
        <w:tc>
          <w:tcPr>
            <w:tcW w:w="1018" w:type="dxa"/>
            <w:tcBorders>
              <w:top w:val="double" w:sz="4" w:space="0" w:color="000000"/>
              <w:bottom w:val="double" w:sz="4" w:space="0" w:color="000000"/>
              <w:end w:val="double" w:sz="4" w:space="0" w:color="000000"/>
            </w:tcBorders>
            <w:vAlign w:val="center"/>
          </w:tcPr>
          <w:p>
            <w:pPr>
              <w:pStyle w:val="Normal"/>
              <w:jc w:val="center"/>
              <w:rPr>
                <w:b/>
                <w:sz w:val="26"/>
              </w:rPr>
            </w:pPr>
            <w:r>
              <w:rPr>
                <w:b/>
                <w:sz w:val="26"/>
              </w:rPr>
              <w:t>Month</w:t>
            </w:r>
          </w:p>
          <w:p>
            <w:pPr>
              <w:pStyle w:val="Normal"/>
              <w:jc w:val="center"/>
              <w:rPr>
                <w:b/>
                <w:sz w:val="26"/>
              </w:rPr>
            </w:pPr>
            <w:r>
              <w:rPr>
                <w:b/>
                <w:sz w:val="26"/>
              </w:rPr>
              <w:t>1</w:t>
            </w:r>
          </w:p>
        </w:tc>
        <w:tc>
          <w:tcPr>
            <w:tcW w:w="1013" w:type="dxa"/>
            <w:tcBorders>
              <w:top w:val="double" w:sz="4" w:space="0" w:color="000000"/>
              <w:bottom w:val="double" w:sz="4" w:space="0" w:color="000000"/>
              <w:end w:val="double" w:sz="4" w:space="0" w:color="000000"/>
            </w:tcBorders>
            <w:vAlign w:val="center"/>
          </w:tcPr>
          <w:p>
            <w:pPr>
              <w:pStyle w:val="Normal"/>
              <w:jc w:val="center"/>
              <w:rPr>
                <w:b/>
                <w:sz w:val="26"/>
              </w:rPr>
            </w:pPr>
            <w:r>
              <w:rPr>
                <w:b/>
                <w:sz w:val="26"/>
              </w:rPr>
              <w:t>Month</w:t>
            </w:r>
          </w:p>
          <w:p>
            <w:pPr>
              <w:pStyle w:val="Normal"/>
              <w:jc w:val="center"/>
              <w:rPr>
                <w:b/>
                <w:sz w:val="26"/>
              </w:rPr>
            </w:pPr>
            <w:r>
              <w:rPr>
                <w:b/>
                <w:sz w:val="26"/>
              </w:rPr>
              <w:t>2</w:t>
            </w:r>
          </w:p>
        </w:tc>
        <w:tc>
          <w:tcPr>
            <w:tcW w:w="1013" w:type="dxa"/>
            <w:tcBorders>
              <w:top w:val="double" w:sz="4" w:space="0" w:color="000000"/>
              <w:bottom w:val="double" w:sz="4" w:space="0" w:color="000000"/>
              <w:end w:val="double" w:sz="4" w:space="0" w:color="000000"/>
            </w:tcBorders>
            <w:vAlign w:val="center"/>
          </w:tcPr>
          <w:p>
            <w:pPr>
              <w:pStyle w:val="Normal"/>
              <w:jc w:val="center"/>
              <w:rPr>
                <w:b/>
                <w:sz w:val="26"/>
              </w:rPr>
            </w:pPr>
            <w:r>
              <w:rPr>
                <w:b/>
                <w:sz w:val="26"/>
              </w:rPr>
              <w:t>Month</w:t>
            </w:r>
          </w:p>
          <w:p>
            <w:pPr>
              <w:pStyle w:val="Normal"/>
              <w:jc w:val="center"/>
              <w:rPr>
                <w:b/>
                <w:sz w:val="26"/>
              </w:rPr>
            </w:pPr>
            <w:r>
              <w:rPr>
                <w:b/>
                <w:sz w:val="26"/>
              </w:rPr>
              <w:t>3</w:t>
            </w:r>
          </w:p>
        </w:tc>
        <w:tc>
          <w:tcPr>
            <w:tcW w:w="1013" w:type="dxa"/>
            <w:tcBorders>
              <w:top w:val="double" w:sz="4" w:space="0" w:color="000000"/>
              <w:bottom w:val="double" w:sz="4" w:space="0" w:color="000000"/>
              <w:end w:val="double" w:sz="4" w:space="0" w:color="000000"/>
            </w:tcBorders>
            <w:vAlign w:val="center"/>
          </w:tcPr>
          <w:p>
            <w:pPr>
              <w:pStyle w:val="Normal"/>
              <w:jc w:val="center"/>
              <w:rPr>
                <w:b/>
                <w:sz w:val="26"/>
              </w:rPr>
            </w:pPr>
            <w:r>
              <w:rPr>
                <w:b/>
                <w:sz w:val="26"/>
              </w:rPr>
              <w:t>Month</w:t>
            </w:r>
          </w:p>
          <w:p>
            <w:pPr>
              <w:pStyle w:val="Normal"/>
              <w:jc w:val="center"/>
              <w:rPr>
                <w:b/>
                <w:sz w:val="26"/>
              </w:rPr>
            </w:pPr>
            <w:r>
              <w:rPr>
                <w:b/>
                <w:sz w:val="26"/>
              </w:rPr>
              <w:t>4</w:t>
            </w:r>
          </w:p>
        </w:tc>
        <w:tc>
          <w:tcPr>
            <w:tcW w:w="1013" w:type="dxa"/>
            <w:tcBorders>
              <w:top w:val="double" w:sz="4" w:space="0" w:color="000000"/>
              <w:bottom w:val="double" w:sz="4" w:space="0" w:color="000000"/>
              <w:end w:val="double" w:sz="4" w:space="0" w:color="000000"/>
            </w:tcBorders>
            <w:vAlign w:val="center"/>
          </w:tcPr>
          <w:p>
            <w:pPr>
              <w:pStyle w:val="Normal"/>
              <w:jc w:val="center"/>
              <w:rPr>
                <w:b/>
                <w:sz w:val="26"/>
              </w:rPr>
            </w:pPr>
            <w:r>
              <w:rPr>
                <w:b/>
                <w:sz w:val="26"/>
              </w:rPr>
              <w:t>Month</w:t>
            </w:r>
          </w:p>
          <w:p>
            <w:pPr>
              <w:pStyle w:val="Normal"/>
              <w:jc w:val="center"/>
              <w:rPr>
                <w:b/>
                <w:sz w:val="26"/>
              </w:rPr>
            </w:pPr>
            <w:r>
              <w:rPr>
                <w:b/>
                <w:sz w:val="26"/>
              </w:rPr>
              <w:t>5</w:t>
            </w:r>
          </w:p>
        </w:tc>
        <w:tc>
          <w:tcPr>
            <w:tcW w:w="1013" w:type="dxa"/>
            <w:tcBorders>
              <w:top w:val="double" w:sz="4" w:space="0" w:color="000000"/>
              <w:bottom w:val="double" w:sz="4" w:space="0" w:color="000000"/>
              <w:end w:val="double" w:sz="4" w:space="0" w:color="000000"/>
            </w:tcBorders>
            <w:vAlign w:val="center"/>
          </w:tcPr>
          <w:p>
            <w:pPr>
              <w:pStyle w:val="Normal"/>
              <w:jc w:val="center"/>
              <w:rPr>
                <w:b/>
                <w:sz w:val="26"/>
              </w:rPr>
            </w:pPr>
            <w:r>
              <w:rPr>
                <w:b/>
                <w:sz w:val="26"/>
              </w:rPr>
              <w:t>Month</w:t>
            </w:r>
          </w:p>
          <w:p>
            <w:pPr>
              <w:pStyle w:val="Normal"/>
              <w:jc w:val="center"/>
              <w:rPr>
                <w:b/>
                <w:sz w:val="26"/>
              </w:rPr>
            </w:pPr>
            <w:r>
              <w:rPr>
                <w:b/>
                <w:sz w:val="26"/>
              </w:rPr>
              <w:t>6</w:t>
            </w:r>
          </w:p>
        </w:tc>
        <w:tc>
          <w:tcPr>
            <w:tcW w:w="1013" w:type="dxa"/>
            <w:tcBorders>
              <w:top w:val="double" w:sz="4" w:space="0" w:color="000000"/>
              <w:bottom w:val="double" w:sz="4" w:space="0" w:color="000000"/>
              <w:end w:val="double" w:sz="4" w:space="0" w:color="000000"/>
            </w:tcBorders>
            <w:vAlign w:val="center"/>
          </w:tcPr>
          <w:p>
            <w:pPr>
              <w:pStyle w:val="Normal"/>
              <w:jc w:val="center"/>
              <w:rPr>
                <w:b/>
                <w:sz w:val="26"/>
              </w:rPr>
            </w:pPr>
            <w:r>
              <w:rPr>
                <w:b/>
                <w:sz w:val="26"/>
              </w:rPr>
              <w:t>Month</w:t>
            </w:r>
          </w:p>
          <w:p>
            <w:pPr>
              <w:pStyle w:val="Normal"/>
              <w:jc w:val="center"/>
              <w:rPr>
                <w:b/>
                <w:sz w:val="26"/>
              </w:rPr>
            </w:pPr>
            <w:r>
              <w:rPr>
                <w:b/>
                <w:sz w:val="26"/>
              </w:rPr>
              <w:t>7</w:t>
            </w:r>
          </w:p>
        </w:tc>
        <w:tc>
          <w:tcPr>
            <w:tcW w:w="1013" w:type="dxa"/>
            <w:tcBorders>
              <w:top w:val="double" w:sz="4" w:space="0" w:color="000000"/>
              <w:bottom w:val="double" w:sz="4" w:space="0" w:color="000000"/>
              <w:end w:val="double" w:sz="4" w:space="0" w:color="000000"/>
            </w:tcBorders>
            <w:vAlign w:val="center"/>
          </w:tcPr>
          <w:p>
            <w:pPr>
              <w:pStyle w:val="Normal"/>
              <w:jc w:val="center"/>
              <w:rPr>
                <w:b/>
                <w:sz w:val="26"/>
              </w:rPr>
            </w:pPr>
            <w:r>
              <w:rPr>
                <w:b/>
                <w:sz w:val="26"/>
              </w:rPr>
              <w:t>Month</w:t>
            </w:r>
          </w:p>
          <w:p>
            <w:pPr>
              <w:pStyle w:val="Normal"/>
              <w:jc w:val="center"/>
              <w:rPr>
                <w:b/>
                <w:sz w:val="26"/>
              </w:rPr>
            </w:pPr>
            <w:r>
              <w:rPr>
                <w:b/>
                <w:sz w:val="26"/>
              </w:rPr>
              <w:t>8</w:t>
            </w:r>
          </w:p>
        </w:tc>
        <w:tc>
          <w:tcPr>
            <w:tcW w:w="1013" w:type="dxa"/>
            <w:tcBorders>
              <w:top w:val="double" w:sz="4" w:space="0" w:color="000000"/>
              <w:bottom w:val="double" w:sz="4" w:space="0" w:color="000000"/>
              <w:end w:val="double" w:sz="4" w:space="0" w:color="000000"/>
            </w:tcBorders>
            <w:vAlign w:val="center"/>
          </w:tcPr>
          <w:p>
            <w:pPr>
              <w:pStyle w:val="Normal"/>
              <w:jc w:val="center"/>
              <w:rPr>
                <w:b/>
                <w:sz w:val="26"/>
              </w:rPr>
            </w:pPr>
            <w:r>
              <w:rPr>
                <w:b/>
                <w:sz w:val="26"/>
              </w:rPr>
              <w:t>Month</w:t>
            </w:r>
          </w:p>
          <w:p>
            <w:pPr>
              <w:pStyle w:val="Normal"/>
              <w:jc w:val="center"/>
              <w:rPr>
                <w:b/>
                <w:sz w:val="26"/>
              </w:rPr>
            </w:pPr>
            <w:r>
              <w:rPr>
                <w:b/>
                <w:sz w:val="26"/>
              </w:rPr>
              <w:t>9</w:t>
            </w:r>
          </w:p>
        </w:tc>
        <w:tc>
          <w:tcPr>
            <w:tcW w:w="1013" w:type="dxa"/>
            <w:tcBorders>
              <w:top w:val="double" w:sz="4" w:space="0" w:color="000000"/>
              <w:bottom w:val="double" w:sz="4" w:space="0" w:color="000000"/>
              <w:end w:val="double" w:sz="4" w:space="0" w:color="000000"/>
            </w:tcBorders>
            <w:vAlign w:val="center"/>
          </w:tcPr>
          <w:p>
            <w:pPr>
              <w:pStyle w:val="Normal"/>
              <w:jc w:val="center"/>
              <w:rPr>
                <w:b/>
                <w:sz w:val="26"/>
              </w:rPr>
            </w:pPr>
            <w:r>
              <w:rPr>
                <w:b/>
                <w:sz w:val="26"/>
              </w:rPr>
              <w:t>Month</w:t>
            </w:r>
          </w:p>
          <w:p>
            <w:pPr>
              <w:pStyle w:val="Normal"/>
              <w:jc w:val="center"/>
              <w:rPr>
                <w:b/>
                <w:sz w:val="26"/>
              </w:rPr>
            </w:pPr>
            <w:r>
              <w:rPr>
                <w:b/>
                <w:sz w:val="26"/>
              </w:rPr>
              <w:t>10</w:t>
            </w:r>
          </w:p>
        </w:tc>
        <w:tc>
          <w:tcPr>
            <w:tcW w:w="1013" w:type="dxa"/>
            <w:tcBorders>
              <w:top w:val="double" w:sz="4" w:space="0" w:color="000000"/>
              <w:bottom w:val="double" w:sz="4" w:space="0" w:color="000000"/>
              <w:end w:val="double" w:sz="4" w:space="0" w:color="000000"/>
            </w:tcBorders>
            <w:vAlign w:val="center"/>
          </w:tcPr>
          <w:p>
            <w:pPr>
              <w:pStyle w:val="Normal"/>
              <w:jc w:val="center"/>
              <w:rPr>
                <w:b/>
                <w:sz w:val="26"/>
              </w:rPr>
            </w:pPr>
            <w:r>
              <w:rPr>
                <w:b/>
                <w:sz w:val="26"/>
              </w:rPr>
              <w:t>Month</w:t>
            </w:r>
          </w:p>
          <w:p>
            <w:pPr>
              <w:pStyle w:val="Normal"/>
              <w:jc w:val="center"/>
              <w:rPr>
                <w:b/>
                <w:sz w:val="26"/>
              </w:rPr>
            </w:pPr>
            <w:r>
              <w:rPr>
                <w:b/>
                <w:sz w:val="26"/>
              </w:rPr>
              <w:t>11</w:t>
            </w:r>
          </w:p>
        </w:tc>
        <w:tc>
          <w:tcPr>
            <w:tcW w:w="1013" w:type="dxa"/>
            <w:tcBorders>
              <w:top w:val="double" w:sz="4" w:space="0" w:color="000000"/>
              <w:bottom w:val="double" w:sz="4" w:space="0" w:color="000000"/>
              <w:end w:val="double" w:sz="4" w:space="0" w:color="000000"/>
            </w:tcBorders>
            <w:vAlign w:val="center"/>
          </w:tcPr>
          <w:p>
            <w:pPr>
              <w:pStyle w:val="Normal"/>
              <w:jc w:val="center"/>
              <w:rPr>
                <w:b/>
                <w:sz w:val="26"/>
              </w:rPr>
            </w:pPr>
            <w:r>
              <w:rPr>
                <w:b/>
                <w:sz w:val="26"/>
              </w:rPr>
              <w:t>Month</w:t>
            </w:r>
          </w:p>
          <w:p>
            <w:pPr>
              <w:pStyle w:val="Normal"/>
              <w:jc w:val="center"/>
              <w:rPr>
                <w:b/>
                <w:sz w:val="26"/>
              </w:rPr>
            </w:pPr>
            <w:r>
              <w:rPr>
                <w:b/>
                <w:sz w:val="26"/>
              </w:rPr>
              <w:t>12</w:t>
            </w:r>
          </w:p>
        </w:tc>
      </w:tr>
      <w:tr>
        <w:trPr>
          <w:trHeight w:val="880" w:hRule="atLeast"/>
        </w:trPr>
        <w:tc>
          <w:tcPr>
            <w:tcW w:w="1170" w:type="dxa"/>
            <w:tcBorders>
              <w:top w:val="double" w:sz="4" w:space="0" w:color="000000"/>
              <w:start w:val="double" w:sz="4" w:space="0" w:color="000000"/>
              <w:bottom w:val="double" w:sz="4" w:space="0" w:color="000000"/>
              <w:end w:val="double" w:sz="4" w:space="0" w:color="000000"/>
            </w:tcBorders>
            <w:vAlign w:val="center"/>
          </w:tcPr>
          <w:p>
            <w:pPr>
              <w:pStyle w:val="Normal"/>
              <w:jc w:val="center"/>
              <w:rPr/>
            </w:pPr>
            <w:r>
              <w:rPr>
                <w:b/>
                <w:sz w:val="28"/>
              </w:rPr>
              <w:t>1</w:t>
            </w:r>
            <w:r>
              <w:rPr>
                <w:b/>
                <w:sz w:val="28"/>
                <w:vertAlign w:val="superscript"/>
              </w:rPr>
              <w:t>(1)</w:t>
            </w:r>
          </w:p>
        </w:tc>
        <w:tc>
          <w:tcPr>
            <w:tcW w:w="1018" w:type="dxa"/>
            <w:tcBorders>
              <w:top w:val="double" w:sz="4" w:space="0" w:color="000000"/>
              <w:bottom w:val="single" w:sz="4" w:space="0" w:color="000000"/>
              <w:end w:val="single" w:sz="4" w:space="0" w:color="000000"/>
            </w:tcBorders>
            <w:vAlign w:val="center"/>
          </w:tcPr>
          <w:p>
            <w:pPr>
              <w:pStyle w:val="Normal"/>
              <w:jc w:val="center"/>
              <w:rPr>
                <w:b/>
                <w:sz w:val="28"/>
              </w:rPr>
            </w:pPr>
            <w:r>
              <w:rPr>
                <w:b/>
                <w:sz w:val="28"/>
              </w:rPr>
              <w:t>40</w:t>
            </w:r>
          </w:p>
        </w:tc>
        <w:tc>
          <w:tcPr>
            <w:tcW w:w="1013" w:type="dxa"/>
            <w:tcBorders>
              <w:top w:val="doub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40</w:t>
            </w:r>
          </w:p>
        </w:tc>
        <w:tc>
          <w:tcPr>
            <w:tcW w:w="1013" w:type="dxa"/>
            <w:tcBorders>
              <w:top w:val="doub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40</w:t>
            </w:r>
          </w:p>
        </w:tc>
        <w:tc>
          <w:tcPr>
            <w:tcW w:w="1013" w:type="dxa"/>
            <w:tcBorders>
              <w:top w:val="doub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40</w:t>
            </w:r>
          </w:p>
        </w:tc>
        <w:tc>
          <w:tcPr>
            <w:tcW w:w="1013" w:type="dxa"/>
            <w:tcBorders>
              <w:top w:val="doub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40</w:t>
            </w:r>
          </w:p>
        </w:tc>
        <w:tc>
          <w:tcPr>
            <w:tcW w:w="1013" w:type="dxa"/>
            <w:tcBorders>
              <w:top w:val="doub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40</w:t>
            </w:r>
          </w:p>
        </w:tc>
        <w:tc>
          <w:tcPr>
            <w:tcW w:w="1013" w:type="dxa"/>
            <w:tcBorders>
              <w:top w:val="doub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40</w:t>
            </w:r>
          </w:p>
        </w:tc>
        <w:tc>
          <w:tcPr>
            <w:tcW w:w="1013" w:type="dxa"/>
            <w:tcBorders>
              <w:top w:val="doub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40</w:t>
            </w:r>
          </w:p>
        </w:tc>
        <w:tc>
          <w:tcPr>
            <w:tcW w:w="1013" w:type="dxa"/>
            <w:tcBorders>
              <w:top w:val="doub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40</w:t>
            </w:r>
          </w:p>
        </w:tc>
        <w:tc>
          <w:tcPr>
            <w:tcW w:w="1013" w:type="dxa"/>
            <w:tcBorders>
              <w:top w:val="doub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40</w:t>
            </w:r>
          </w:p>
        </w:tc>
        <w:tc>
          <w:tcPr>
            <w:tcW w:w="1013" w:type="dxa"/>
            <w:tcBorders>
              <w:top w:val="doub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40</w:t>
            </w:r>
          </w:p>
        </w:tc>
        <w:tc>
          <w:tcPr>
            <w:tcW w:w="1013" w:type="dxa"/>
            <w:tcBorders>
              <w:top w:val="double" w:sz="4" w:space="0" w:color="000000"/>
              <w:start w:val="single" w:sz="4" w:space="0" w:color="000000"/>
              <w:bottom w:val="single" w:sz="4" w:space="0" w:color="000000"/>
              <w:end w:val="double" w:sz="4" w:space="0" w:color="000000"/>
            </w:tcBorders>
            <w:vAlign w:val="center"/>
          </w:tcPr>
          <w:p>
            <w:pPr>
              <w:pStyle w:val="Normal"/>
              <w:jc w:val="center"/>
              <w:rPr>
                <w:b/>
                <w:sz w:val="28"/>
              </w:rPr>
            </w:pPr>
            <w:r>
              <w:rPr>
                <w:b/>
                <w:sz w:val="28"/>
              </w:rPr>
              <w:t>40</w:t>
            </w:r>
          </w:p>
        </w:tc>
      </w:tr>
      <w:tr>
        <w:trPr>
          <w:trHeight w:val="880" w:hRule="atLeast"/>
        </w:trPr>
        <w:tc>
          <w:tcPr>
            <w:tcW w:w="1170" w:type="dxa"/>
            <w:tcBorders>
              <w:top w:val="double" w:sz="4" w:space="0" w:color="000000"/>
              <w:start w:val="double" w:sz="4" w:space="0" w:color="000000"/>
              <w:bottom w:val="double" w:sz="4" w:space="0" w:color="000000"/>
              <w:end w:val="double" w:sz="4" w:space="0" w:color="000000"/>
            </w:tcBorders>
            <w:vAlign w:val="center"/>
          </w:tcPr>
          <w:p>
            <w:pPr>
              <w:pStyle w:val="Normal"/>
              <w:jc w:val="center"/>
              <w:rPr/>
            </w:pPr>
            <w:r>
              <w:rPr>
                <w:b/>
                <w:sz w:val="28"/>
              </w:rPr>
              <w:t>2</w:t>
            </w:r>
            <w:r>
              <w:rPr>
                <w:b/>
                <w:sz w:val="28"/>
                <w:vertAlign w:val="superscript"/>
              </w:rPr>
              <w:t>(1)</w:t>
            </w:r>
          </w:p>
        </w:tc>
        <w:tc>
          <w:tcPr>
            <w:tcW w:w="1018" w:type="dxa"/>
            <w:tcBorders>
              <w:top w:val="single" w:sz="4" w:space="0" w:color="000000"/>
              <w:bottom w:val="single" w:sz="4" w:space="0" w:color="000000"/>
              <w:end w:val="single" w:sz="4" w:space="0" w:color="000000"/>
            </w:tcBorders>
            <w:vAlign w:val="center"/>
          </w:tcPr>
          <w:p>
            <w:pPr>
              <w:pStyle w:val="Normal"/>
              <w:jc w:val="center"/>
              <w:rPr>
                <w:b/>
                <w:sz w:val="28"/>
              </w:rPr>
            </w:pPr>
            <w:r>
              <w:rPr>
                <w:b/>
                <w:sz w:val="28"/>
              </w:rPr>
              <w:t>70</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70</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70</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70</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70</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70</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70</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70</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70</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70</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70</w:t>
            </w:r>
          </w:p>
        </w:tc>
        <w:tc>
          <w:tcPr>
            <w:tcW w:w="1013" w:type="dxa"/>
            <w:tcBorders>
              <w:top w:val="single" w:sz="4" w:space="0" w:color="000000"/>
              <w:start w:val="single" w:sz="4" w:space="0" w:color="000000"/>
              <w:bottom w:val="single" w:sz="4" w:space="0" w:color="000000"/>
              <w:end w:val="double" w:sz="4" w:space="0" w:color="000000"/>
            </w:tcBorders>
            <w:vAlign w:val="center"/>
          </w:tcPr>
          <w:p>
            <w:pPr>
              <w:pStyle w:val="Normal"/>
              <w:jc w:val="center"/>
              <w:rPr>
                <w:b/>
                <w:sz w:val="28"/>
              </w:rPr>
            </w:pPr>
            <w:r>
              <w:rPr>
                <w:b/>
                <w:sz w:val="28"/>
              </w:rPr>
              <w:t>70</w:t>
            </w:r>
          </w:p>
        </w:tc>
      </w:tr>
      <w:tr>
        <w:trPr>
          <w:trHeight w:val="880" w:hRule="atLeast"/>
        </w:trPr>
        <w:tc>
          <w:tcPr>
            <w:tcW w:w="1170" w:type="dxa"/>
            <w:tcBorders>
              <w:top w:val="double" w:sz="4" w:space="0" w:color="000000"/>
              <w:start w:val="double" w:sz="4" w:space="0" w:color="000000"/>
              <w:bottom w:val="double" w:sz="4" w:space="0" w:color="000000"/>
              <w:end w:val="double" w:sz="4" w:space="0" w:color="000000"/>
            </w:tcBorders>
            <w:vAlign w:val="center"/>
          </w:tcPr>
          <w:p>
            <w:pPr>
              <w:pStyle w:val="Normal"/>
              <w:jc w:val="center"/>
              <w:rPr>
                <w:b/>
                <w:sz w:val="28"/>
                <w:vertAlign w:val="superscript"/>
              </w:rPr>
            </w:pPr>
            <w:r>
              <w:rPr>
                <w:b/>
                <w:sz w:val="28"/>
              </w:rPr>
              <w:t>3-12</w:t>
            </w:r>
          </w:p>
        </w:tc>
        <w:tc>
          <w:tcPr>
            <w:tcW w:w="1018" w:type="dxa"/>
            <w:tcBorders>
              <w:top w:val="single" w:sz="4" w:space="0" w:color="000000"/>
              <w:bottom w:val="single" w:sz="4" w:space="0" w:color="000000"/>
              <w:end w:val="single" w:sz="4" w:space="0" w:color="000000"/>
            </w:tcBorders>
            <w:vAlign w:val="center"/>
          </w:tcPr>
          <w:p>
            <w:pPr>
              <w:pStyle w:val="Normal"/>
              <w:jc w:val="center"/>
              <w:rPr>
                <w:b/>
                <w:sz w:val="28"/>
              </w:rPr>
            </w:pPr>
            <w:r>
              <w:rPr>
                <w:b/>
                <w:sz w:val="28"/>
              </w:rPr>
              <w:t>100</w:t>
            </w:r>
            <w:r>
              <w:rPr>
                <w:b/>
                <w:sz w:val="28"/>
                <w:vertAlign w:val="superscript"/>
              </w:rPr>
              <w:t>(2)</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100</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100</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100</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100</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100</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100</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100</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100</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100</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100</w:t>
            </w:r>
          </w:p>
        </w:tc>
        <w:tc>
          <w:tcPr>
            <w:tcW w:w="1013" w:type="dxa"/>
            <w:tcBorders>
              <w:top w:val="single" w:sz="4" w:space="0" w:color="000000"/>
              <w:start w:val="single" w:sz="4" w:space="0" w:color="000000"/>
              <w:bottom w:val="single" w:sz="4" w:space="0" w:color="000000"/>
              <w:end w:val="double" w:sz="4" w:space="0" w:color="000000"/>
            </w:tcBorders>
            <w:vAlign w:val="center"/>
          </w:tcPr>
          <w:p>
            <w:pPr>
              <w:pStyle w:val="Normal"/>
              <w:jc w:val="center"/>
              <w:rPr>
                <w:b/>
                <w:sz w:val="28"/>
              </w:rPr>
            </w:pPr>
            <w:r>
              <w:rPr>
                <w:b/>
                <w:sz w:val="28"/>
              </w:rPr>
              <w:t>100</w:t>
            </w:r>
          </w:p>
        </w:tc>
      </w:tr>
    </w:tbl>
    <w:p>
      <w:pPr>
        <w:pStyle w:val="BodyText"/>
        <w:rPr>
          <w:sz w:val="21"/>
        </w:rPr>
      </w:pPr>
      <w:r>
        <w:rPr>
          <w:sz w:val="21"/>
        </w:rPr>
      </w:r>
    </w:p>
    <w:p>
      <w:pPr>
        <w:pStyle w:val="BodyText"/>
        <w:rPr>
          <w:sz w:val="21"/>
        </w:rPr>
      </w:pPr>
      <w:r>
        <w:rPr>
          <w:sz w:val="21"/>
        </w:rPr>
        <w:t>(1) Ramp-Up Period</w:t>
      </w:r>
    </w:p>
    <w:p>
      <w:pPr>
        <w:pStyle w:val="BodyText"/>
        <w:rPr>
          <w:sz w:val="21"/>
        </w:rPr>
      </w:pPr>
      <w:r>
        <w:rPr>
          <w:sz w:val="21"/>
        </w:rPr>
      </w:r>
    </w:p>
    <w:p>
      <w:pPr>
        <w:pStyle w:val="BodyText"/>
        <w:rPr>
          <w:sz w:val="21"/>
        </w:rPr>
      </w:pPr>
      <w:r>
        <w:rPr>
          <w:sz w:val="21"/>
        </w:rPr>
        <w:t>(2) This is Enron's Individual Shipper's MDQ</w:t>
      </w:r>
    </w:p>
    <w:p>
      <w:pPr>
        <w:pStyle w:val="BodyText"/>
        <w:rPr>
          <w:sz w:val="21"/>
        </w:rPr>
      </w:pPr>
      <w:r>
        <w:rPr>
          <w:sz w:val="21"/>
        </w:rPr>
      </w:r>
    </w:p>
    <w:p>
      <w:pPr>
        <w:pStyle w:val="BodyText"/>
        <w:rPr>
          <w:sz w:val="21"/>
        </w:rPr>
      </w:pPr>
      <w:r>
        <w:rPr>
          <w:sz w:val="21"/>
        </w:rPr>
        <w:t xml:space="preserve"> </w:t>
      </w:r>
    </w:p>
    <w:p>
      <w:pPr>
        <w:pStyle w:val="Normal"/>
        <w:rPr>
          <w:sz w:val="21"/>
        </w:rPr>
      </w:pPr>
      <w:r>
        <w:rPr>
          <w:sz w:val="21"/>
        </w:rPr>
      </w:r>
      <w:r>
        <w:br w:type="page"/>
      </w:r>
    </w:p>
    <w:p>
      <w:pPr>
        <w:pStyle w:val="Heading3"/>
        <w:ind w:hanging="0" w:start="0"/>
        <w:rPr/>
      </w:pPr>
      <w:r>
        <w:rPr/>
        <w:t xml:space="preserve"> </w:t>
      </w:r>
      <w:r>
        <w:rPr>
          <w:b/>
          <w:sz w:val="25"/>
        </w:rPr>
        <w:t>Exhibit C</w:t>
      </w:r>
    </w:p>
    <w:p>
      <w:pPr>
        <w:pStyle w:val="Heading3"/>
        <w:ind w:hanging="0" w:start="0"/>
        <w:rPr>
          <w:b/>
          <w:sz w:val="25"/>
        </w:rPr>
      </w:pPr>
      <w:r>
        <w:rPr>
          <w:b/>
          <w:sz w:val="25"/>
        </w:rPr>
        <w:t>RATES TABLE / MEDICINE BOW LOOP</w:t>
      </w:r>
    </w:p>
    <w:p>
      <w:pPr>
        <w:pStyle w:val="Normal"/>
        <w:jc w:val="center"/>
        <w:rPr>
          <w:b/>
          <w:sz w:val="25"/>
        </w:rPr>
      </w:pPr>
      <w:r>
        <w:rPr>
          <w:b/>
          <w:sz w:val="25"/>
        </w:rPr>
      </w:r>
    </w:p>
    <w:p>
      <w:pPr>
        <w:pStyle w:val="Normal"/>
        <w:rPr>
          <w:b/>
          <w:sz w:val="25"/>
        </w:rPr>
      </w:pPr>
      <w:r>
        <w:rPr>
          <w:b/>
          <w:sz w:val="25"/>
        </w:rPr>
      </w:r>
    </w:p>
    <w:tbl>
      <w:tblPr>
        <w:tblW w:w="14400" w:type="dxa"/>
        <w:jc w:val="start"/>
        <w:tblInd w:w="288" w:type="dxa"/>
        <w:tblLayout w:type="fixed"/>
        <w:tblCellMar>
          <w:top w:w="0" w:type="dxa"/>
          <w:start w:w="108" w:type="dxa"/>
          <w:bottom w:w="0" w:type="dxa"/>
          <w:end w:w="108" w:type="dxa"/>
        </w:tblCellMar>
      </w:tblPr>
      <w:tblGrid>
        <w:gridCol w:w="4590"/>
        <w:gridCol w:w="1015"/>
        <w:gridCol w:w="1466"/>
        <w:gridCol w:w="1389"/>
        <w:gridCol w:w="77"/>
        <w:gridCol w:w="1465"/>
        <w:gridCol w:w="1466"/>
        <w:gridCol w:w="1466"/>
        <w:gridCol w:w="1466"/>
      </w:tblGrid>
      <w:tr>
        <w:trPr>
          <w:trHeight w:val="972" w:hRule="atLeast"/>
        </w:trPr>
        <w:tc>
          <w:tcPr>
            <w:tcW w:w="4590" w:type="dxa"/>
            <w:tcBorders/>
          </w:tcPr>
          <w:p>
            <w:pPr>
              <w:pStyle w:val="Normal"/>
              <w:snapToGrid w:val="false"/>
              <w:rPr>
                <w:b/>
                <w:sz w:val="21"/>
              </w:rPr>
            </w:pPr>
            <w:r>
              <w:rPr>
                <w:b/>
                <w:sz w:val="21"/>
              </w:rPr>
            </w:r>
          </w:p>
        </w:tc>
        <w:tc>
          <w:tcPr>
            <w:tcW w:w="9810" w:type="dxa"/>
            <w:gridSpan w:val="8"/>
            <w:tcBorders/>
            <w:vAlign w:val="center"/>
          </w:tcPr>
          <w:p>
            <w:pPr>
              <w:pStyle w:val="Heading4"/>
              <w:ind w:hanging="0" w:start="0"/>
              <w:rPr>
                <w:sz w:val="25"/>
              </w:rPr>
            </w:pPr>
            <w:r>
              <w:rPr>
                <w:sz w:val="25"/>
              </w:rPr>
              <w:t>Post-Ramp Up Period  Daily Reservation Rate</w:t>
            </w:r>
          </w:p>
          <w:p>
            <w:pPr>
              <w:pStyle w:val="Heading4"/>
              <w:ind w:hanging="0" w:start="0"/>
              <w:rPr>
                <w:sz w:val="25"/>
              </w:rPr>
            </w:pPr>
            <w:r>
              <w:rPr>
                <w:sz w:val="25"/>
              </w:rPr>
              <w:t xml:space="preserve">( Per Dth/Day ) </w:t>
            </w:r>
            <w:r>
              <w:rPr>
                <w:b w:val="false"/>
                <w:sz w:val="25"/>
                <w:vertAlign w:val="superscript"/>
              </w:rPr>
              <w:t>(1)</w:t>
            </w:r>
          </w:p>
          <w:p>
            <w:pPr>
              <w:pStyle w:val="Normal"/>
              <w:jc w:val="center"/>
              <w:rPr>
                <w:b/>
                <w:sz w:val="18"/>
                <w:vertAlign w:val="superscript"/>
              </w:rPr>
            </w:pPr>
            <w:r>
              <w:rPr>
                <w:b/>
                <w:sz w:val="18"/>
                <w:vertAlign w:val="superscript"/>
              </w:rPr>
            </w:r>
          </w:p>
        </w:tc>
      </w:tr>
      <w:tr>
        <w:trPr>
          <w:trHeight w:val="801" w:hRule="atLeast"/>
        </w:trPr>
        <w:tc>
          <w:tcPr>
            <w:tcW w:w="4590" w:type="dxa"/>
            <w:tcBorders/>
            <w:vAlign w:val="center"/>
          </w:tcPr>
          <w:p>
            <w:pPr>
              <w:pStyle w:val="Heading1"/>
              <w:snapToGrid w:val="false"/>
              <w:ind w:hanging="0" w:start="0"/>
              <w:rPr>
                <w:b w:val="false"/>
                <w:sz w:val="21"/>
                <w:u w:val="none"/>
                <w:vertAlign w:val="superscript"/>
                <w:lang w:val="en-CA"/>
              </w:rPr>
            </w:pPr>
            <w:r>
              <w:rPr>
                <w:b w:val="false"/>
                <w:sz w:val="21"/>
                <w:u w:val="none"/>
                <w:vertAlign w:val="superscript"/>
                <w:lang w:val="en-CA"/>
              </w:rPr>
              <mc:AlternateContent>
                <mc:Choice Requires="wps">
                  <w:drawing>
                    <wp:anchor behindDoc="0" distT="0" distB="0" distL="114935" distR="114935" simplePos="0" locked="0" layoutInCell="0" allowOverlap="1" relativeHeight="10">
                      <wp:simplePos x="0" y="0"/>
                      <wp:positionH relativeFrom="margin">
                        <wp:posOffset>3291840</wp:posOffset>
                      </wp:positionH>
                      <wp:positionV relativeFrom="paragraph">
                        <wp:posOffset>27940</wp:posOffset>
                      </wp:positionV>
                      <wp:extent cx="5669280" cy="0"/>
                      <wp:effectExtent l="0" t="43180" r="0" b="43180"/>
                      <wp:wrapNone/>
                      <wp:docPr id="3" name=""/>
                      <a:graphic xmlns:a="http://schemas.openxmlformats.org/drawingml/2006/main">
                        <a:graphicData uri="http://schemas.microsoft.com/office/word/2010/wordprocessingShape">
                          <wps:wsp>
                            <wps:cNvSpPr/>
                            <wps:spPr>
                              <a:xfrm>
                                <a:off x="0" y="0"/>
                                <a:ext cx="5669280" cy="0"/>
                              </a:xfrm>
                              <a:prstGeom prst="line">
                                <a:avLst/>
                              </a:prstGeom>
                              <a:ln w="2844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259.2pt,2.2pt" to="705.55pt,2.2pt" stroked="t" o:allowincell="f" style="position:absolute;mso-position-horizontal-relative:margin">
                      <v:stroke color="black" weight="2844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1">
                      <wp:simplePos x="0" y="0"/>
                      <wp:positionH relativeFrom="margin">
                        <wp:posOffset>3200400</wp:posOffset>
                      </wp:positionH>
                      <wp:positionV relativeFrom="paragraph">
                        <wp:posOffset>485140</wp:posOffset>
                      </wp:positionV>
                      <wp:extent cx="2103120" cy="0"/>
                      <wp:effectExtent l="0" t="14605" r="0" b="14605"/>
                      <wp:wrapNone/>
                      <wp:docPr id="4" name=""/>
                      <a:graphic xmlns:a="http://schemas.openxmlformats.org/drawingml/2006/main">
                        <a:graphicData uri="http://schemas.microsoft.com/office/word/2010/wordprocessingShape">
                          <wps:wsp>
                            <wps:cNvSpPr/>
                            <wps:spPr>
                              <a:xfrm>
                                <a:off x="0" y="0"/>
                                <a:ext cx="210312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252pt,38.2pt" to="417.55pt,38.2pt" stroked="t" o:allowincell="f" style="position:absolute;mso-position-horizontal-relative:margin">
                      <v:stroke color="black" weight="2844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2">
                      <wp:simplePos x="0" y="0"/>
                      <wp:positionH relativeFrom="margin">
                        <wp:posOffset>5669280</wp:posOffset>
                      </wp:positionH>
                      <wp:positionV relativeFrom="paragraph">
                        <wp:posOffset>485140</wp:posOffset>
                      </wp:positionV>
                      <wp:extent cx="3474720" cy="0"/>
                      <wp:effectExtent l="0" t="14605" r="0" b="14605"/>
                      <wp:wrapNone/>
                      <wp:docPr id="5" name=""/>
                      <a:graphic xmlns:a="http://schemas.openxmlformats.org/drawingml/2006/main">
                        <a:graphicData uri="http://schemas.microsoft.com/office/word/2010/wordprocessingShape">
                          <wps:wsp>
                            <wps:cNvSpPr/>
                            <wps:spPr>
                              <a:xfrm>
                                <a:off x="0" y="0"/>
                                <a:ext cx="347472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46.4pt,38.2pt" to="719.95pt,38.2pt" stroked="t" o:allowincell="f" style="position:absolute;mso-position-horizontal-relative:margin">
                      <v:stroke color="black" weight="2844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3">
                      <wp:simplePos x="0" y="0"/>
                      <wp:positionH relativeFrom="margin">
                        <wp:posOffset>457200</wp:posOffset>
                      </wp:positionH>
                      <wp:positionV relativeFrom="paragraph">
                        <wp:posOffset>485140</wp:posOffset>
                      </wp:positionV>
                      <wp:extent cx="2194560" cy="0"/>
                      <wp:effectExtent l="0" t="14605" r="0" b="14605"/>
                      <wp:wrapNone/>
                      <wp:docPr id="6" name=""/>
                      <a:graphic xmlns:a="http://schemas.openxmlformats.org/drawingml/2006/main">
                        <a:graphicData uri="http://schemas.microsoft.com/office/word/2010/wordprocessingShape">
                          <wps:wsp>
                            <wps:cNvSpPr/>
                            <wps:spPr>
                              <a:xfrm>
                                <a:off x="0" y="0"/>
                                <a:ext cx="219456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36pt,38.2pt" to="208.75pt,38.2pt" stroked="t" o:allowincell="f" style="position:absolute;mso-position-horizontal-relative:margin">
                      <v:stroke color="black" weight="28440" joinstyle="miter" endcap="flat"/>
                      <v:fill o:detectmouseclick="t" on="false"/>
                      <w10:wrap type="none"/>
                    </v:line>
                  </w:pict>
                </mc:Fallback>
              </mc:AlternateContent>
            </w:r>
          </w:p>
          <w:p>
            <w:pPr>
              <w:pStyle w:val="Heading1"/>
              <w:ind w:hanging="0" w:start="0"/>
              <w:rPr>
                <w:sz w:val="21"/>
                <w:u w:val="none"/>
              </w:rPr>
            </w:pPr>
            <w:r>
              <w:rPr>
                <w:sz w:val="21"/>
                <w:u w:val="none"/>
                <w:lang w:val="en-CA"/>
              </w:rPr>
              <w:t xml:space="preserve">Individual Shipper MDQ </w:t>
            </w:r>
            <w:r>
              <w:rPr>
                <w:sz w:val="21"/>
                <w:u w:val="none"/>
                <w:vertAlign w:val="superscript"/>
                <w:lang w:val="en-CA"/>
              </w:rPr>
              <w:t>(2)</w:t>
            </w:r>
          </w:p>
        </w:tc>
        <w:tc>
          <w:tcPr>
            <w:tcW w:w="3870" w:type="dxa"/>
            <w:gridSpan w:val="3"/>
            <w:tcBorders/>
            <w:vAlign w:val="center"/>
          </w:tcPr>
          <w:p>
            <w:pPr>
              <w:pStyle w:val="Normal"/>
              <w:jc w:val="center"/>
              <w:rPr>
                <w:b/>
                <w:sz w:val="21"/>
              </w:rPr>
            </w:pPr>
            <w:r>
              <w:rPr>
                <w:b/>
                <w:sz w:val="21"/>
              </w:rPr>
              <w:t>24” Loop</w:t>
            </w:r>
          </w:p>
          <w:p>
            <w:pPr>
              <w:pStyle w:val="Normal"/>
              <w:jc w:val="center"/>
              <w:rPr>
                <w:b/>
                <w:sz w:val="21"/>
              </w:rPr>
            </w:pPr>
            <w:r>
              <w:rPr>
                <w:b/>
                <w:sz w:val="21"/>
              </w:rPr>
              <w:t>Cumulative MDQ (MDth/d)</w:t>
            </w:r>
          </w:p>
        </w:tc>
        <w:tc>
          <w:tcPr>
            <w:tcW w:w="5940" w:type="dxa"/>
            <w:gridSpan w:val="5"/>
            <w:tcBorders/>
            <w:vAlign w:val="center"/>
          </w:tcPr>
          <w:p>
            <w:pPr>
              <w:pStyle w:val="Normal"/>
              <w:jc w:val="center"/>
              <w:rPr>
                <w:b/>
                <w:sz w:val="21"/>
              </w:rPr>
            </w:pPr>
            <w:r>
              <w:rPr>
                <w:b/>
                <w:sz w:val="21"/>
              </w:rPr>
              <w:t>30” Loop</w:t>
            </w:r>
          </w:p>
          <w:p>
            <w:pPr>
              <w:pStyle w:val="Normal"/>
              <w:jc w:val="center"/>
              <w:rPr>
                <w:b/>
                <w:sz w:val="21"/>
              </w:rPr>
            </w:pPr>
            <w:r>
              <w:rPr>
                <w:b/>
                <w:sz w:val="21"/>
              </w:rPr>
              <w:t>Cumulative MDQ (MDth/d)</w:t>
            </w:r>
          </w:p>
        </w:tc>
      </w:tr>
      <w:tr>
        <w:trPr>
          <w:trHeight w:val="594" w:hRule="atLeast"/>
        </w:trPr>
        <w:tc>
          <w:tcPr>
            <w:tcW w:w="4590" w:type="dxa"/>
            <w:tcBorders/>
            <w:vAlign w:val="center"/>
          </w:tcPr>
          <w:p>
            <w:pPr>
              <w:pStyle w:val="Heading1"/>
              <w:snapToGrid w:val="false"/>
              <w:ind w:hanging="0" w:start="0"/>
              <w:rPr>
                <w:b/>
                <w:sz w:val="21"/>
                <w:vertAlign w:val="superscript"/>
              </w:rPr>
            </w:pPr>
            <w:r>
              <w:rPr>
                <w:b/>
                <w:sz w:val="21"/>
                <w:vertAlign w:val="superscript"/>
              </w:rPr>
            </w:r>
          </w:p>
        </w:tc>
        <w:tc>
          <w:tcPr>
            <w:tcW w:w="1015" w:type="dxa"/>
            <w:tcBorders/>
            <w:vAlign w:val="center"/>
          </w:tcPr>
          <w:p>
            <w:pPr>
              <w:pStyle w:val="Normal"/>
              <w:jc w:val="center"/>
              <w:rPr>
                <w:b/>
                <w:sz w:val="21"/>
                <w:u w:val="single"/>
              </w:rPr>
            </w:pPr>
            <w:r>
              <w:rPr>
                <w:b/>
                <w:sz w:val="21"/>
                <w:u w:val="single"/>
              </w:rPr>
              <w:t>320</w:t>
            </w:r>
          </w:p>
        </w:tc>
        <w:tc>
          <w:tcPr>
            <w:tcW w:w="1466" w:type="dxa"/>
            <w:tcBorders/>
            <w:vAlign w:val="center"/>
          </w:tcPr>
          <w:p>
            <w:pPr>
              <w:pStyle w:val="Normal"/>
              <w:jc w:val="center"/>
              <w:rPr>
                <w:b/>
                <w:sz w:val="21"/>
                <w:u w:val="single"/>
              </w:rPr>
            </w:pPr>
            <w:r>
              <w:rPr>
                <w:b/>
                <w:sz w:val="21"/>
                <w:u w:val="single"/>
              </w:rPr>
              <w:t>385</w:t>
            </w:r>
          </w:p>
        </w:tc>
        <w:tc>
          <w:tcPr>
            <w:tcW w:w="1466" w:type="dxa"/>
            <w:gridSpan w:val="2"/>
            <w:tcBorders>
              <w:end w:val="double" w:sz="18" w:space="0" w:color="000000"/>
            </w:tcBorders>
            <w:vAlign w:val="center"/>
          </w:tcPr>
          <w:p>
            <w:pPr>
              <w:pStyle w:val="Normal"/>
              <w:jc w:val="center"/>
              <w:rPr>
                <w:b/>
                <w:sz w:val="21"/>
                <w:u w:val="single"/>
              </w:rPr>
            </w:pPr>
            <w:r>
              <w:rPr>
                <w:b/>
                <w:sz w:val="21"/>
                <w:u w:val="single"/>
              </w:rPr>
              <w:t>455</w:t>
            </w:r>
          </w:p>
        </w:tc>
        <w:tc>
          <w:tcPr>
            <w:tcW w:w="1465" w:type="dxa"/>
            <w:tcBorders/>
            <w:vAlign w:val="center"/>
          </w:tcPr>
          <w:p>
            <w:pPr>
              <w:pStyle w:val="Normal"/>
              <w:jc w:val="center"/>
              <w:rPr>
                <w:b/>
                <w:sz w:val="21"/>
                <w:u w:val="single"/>
              </w:rPr>
            </w:pPr>
            <w:r>
              <w:rPr>
                <w:b/>
                <w:sz w:val="21"/>
                <w:u w:val="single"/>
              </w:rPr>
              <w:t>500</w:t>
            </w:r>
          </w:p>
        </w:tc>
        <w:tc>
          <w:tcPr>
            <w:tcW w:w="1466" w:type="dxa"/>
            <w:tcBorders/>
            <w:vAlign w:val="center"/>
          </w:tcPr>
          <w:p>
            <w:pPr>
              <w:pStyle w:val="Normal"/>
              <w:jc w:val="center"/>
              <w:rPr>
                <w:b/>
                <w:sz w:val="21"/>
                <w:u w:val="single"/>
              </w:rPr>
            </w:pPr>
            <w:r>
              <w:rPr>
                <w:b/>
                <w:sz w:val="21"/>
                <w:u w:val="single"/>
              </w:rPr>
              <w:t>560</w:t>
            </w:r>
          </w:p>
        </w:tc>
        <w:tc>
          <w:tcPr>
            <w:tcW w:w="1466" w:type="dxa"/>
            <w:tcBorders/>
            <w:vAlign w:val="center"/>
          </w:tcPr>
          <w:p>
            <w:pPr>
              <w:pStyle w:val="Normal"/>
              <w:jc w:val="center"/>
              <w:rPr>
                <w:b/>
                <w:sz w:val="21"/>
                <w:u w:val="single"/>
              </w:rPr>
            </w:pPr>
            <w:r>
              <w:rPr>
                <w:b/>
                <w:sz w:val="21"/>
                <w:u w:val="single"/>
              </w:rPr>
              <w:t>620</w:t>
            </w:r>
          </w:p>
        </w:tc>
        <w:tc>
          <w:tcPr>
            <w:tcW w:w="1466" w:type="dxa"/>
            <w:tcBorders/>
            <w:vAlign w:val="center"/>
          </w:tcPr>
          <w:p>
            <w:pPr>
              <w:pStyle w:val="Normal"/>
              <w:jc w:val="center"/>
              <w:rPr>
                <w:b/>
                <w:sz w:val="21"/>
                <w:u w:val="single"/>
              </w:rPr>
            </w:pPr>
            <w:r>
              <w:rPr>
                <w:b/>
                <w:sz w:val="21"/>
                <w:u w:val="single"/>
              </w:rPr>
              <w:t>680+</w:t>
            </w:r>
          </w:p>
        </w:tc>
      </w:tr>
      <w:tr>
        <w:trPr>
          <w:trHeight w:val="594" w:hRule="atLeast"/>
        </w:trPr>
        <w:tc>
          <w:tcPr>
            <w:tcW w:w="4590" w:type="dxa"/>
            <w:tcBorders/>
            <w:vAlign w:val="center"/>
          </w:tcPr>
          <w:p>
            <w:pPr>
              <w:pStyle w:val="Heading2"/>
              <w:ind w:hanging="0" w:start="0"/>
              <w:rPr>
                <w:sz w:val="21"/>
              </w:rPr>
            </w:pPr>
            <w:r>
              <w:rPr>
                <w:sz w:val="21"/>
              </w:rPr>
              <w:t>Above 125 MDth/day</w:t>
            </w:r>
          </w:p>
        </w:tc>
        <w:tc>
          <w:tcPr>
            <w:tcW w:w="1015" w:type="dxa"/>
            <w:tcBorders/>
            <w:vAlign w:val="center"/>
          </w:tcPr>
          <w:p>
            <w:pPr>
              <w:pStyle w:val="Normal"/>
              <w:jc w:val="center"/>
              <w:rPr>
                <w:sz w:val="21"/>
              </w:rPr>
            </w:pPr>
            <w:r>
              <w:rPr>
                <w:sz w:val="21"/>
              </w:rPr>
              <w:t>$0.140</w:t>
            </w:r>
          </w:p>
        </w:tc>
        <w:tc>
          <w:tcPr>
            <w:tcW w:w="1466" w:type="dxa"/>
            <w:tcBorders/>
            <w:vAlign w:val="center"/>
          </w:tcPr>
          <w:p>
            <w:pPr>
              <w:pStyle w:val="Normal"/>
              <w:jc w:val="center"/>
              <w:rPr>
                <w:sz w:val="21"/>
              </w:rPr>
            </w:pPr>
            <w:r>
              <w:rPr>
                <w:sz w:val="21"/>
              </w:rPr>
              <w:t>$0.135</w:t>
            </w:r>
          </w:p>
        </w:tc>
        <w:tc>
          <w:tcPr>
            <w:tcW w:w="1466" w:type="dxa"/>
            <w:gridSpan w:val="2"/>
            <w:tcBorders>
              <w:end w:val="double" w:sz="18" w:space="0" w:color="000000"/>
            </w:tcBorders>
            <w:vAlign w:val="center"/>
          </w:tcPr>
          <w:p>
            <w:pPr>
              <w:pStyle w:val="Normal"/>
              <w:jc w:val="center"/>
              <w:rPr>
                <w:sz w:val="21"/>
              </w:rPr>
            </w:pPr>
            <w:r>
              <w:rPr>
                <w:sz w:val="21"/>
              </w:rPr>
              <w:t>$0.130</w:t>
            </w:r>
          </w:p>
        </w:tc>
        <w:tc>
          <w:tcPr>
            <w:tcW w:w="1465" w:type="dxa"/>
            <w:tcBorders/>
            <w:vAlign w:val="center"/>
          </w:tcPr>
          <w:p>
            <w:pPr>
              <w:pStyle w:val="Normal"/>
              <w:jc w:val="center"/>
              <w:rPr>
                <w:sz w:val="21"/>
              </w:rPr>
            </w:pPr>
            <w:r>
              <w:rPr>
                <w:sz w:val="21"/>
              </w:rPr>
              <w:t>$0.155</w:t>
            </w:r>
          </w:p>
        </w:tc>
        <w:tc>
          <w:tcPr>
            <w:tcW w:w="1466" w:type="dxa"/>
            <w:tcBorders/>
            <w:vAlign w:val="center"/>
          </w:tcPr>
          <w:p>
            <w:pPr>
              <w:pStyle w:val="Normal"/>
              <w:jc w:val="center"/>
              <w:rPr>
                <w:sz w:val="21"/>
              </w:rPr>
            </w:pPr>
            <w:r>
              <w:rPr>
                <w:sz w:val="21"/>
              </w:rPr>
              <w:t>$0.140</w:t>
            </w:r>
          </w:p>
        </w:tc>
        <w:tc>
          <w:tcPr>
            <w:tcW w:w="1466" w:type="dxa"/>
            <w:tcBorders/>
            <w:vAlign w:val="center"/>
          </w:tcPr>
          <w:p>
            <w:pPr>
              <w:pStyle w:val="Normal"/>
              <w:jc w:val="center"/>
              <w:rPr>
                <w:sz w:val="21"/>
              </w:rPr>
            </w:pPr>
            <w:r>
              <w:rPr>
                <w:sz w:val="21"/>
              </w:rPr>
              <w:t>$0.130</w:t>
            </w:r>
          </w:p>
        </w:tc>
        <w:tc>
          <w:tcPr>
            <w:tcW w:w="1466" w:type="dxa"/>
            <w:tcBorders/>
            <w:vAlign w:val="center"/>
          </w:tcPr>
          <w:p>
            <w:pPr>
              <w:pStyle w:val="Normal"/>
              <w:jc w:val="center"/>
              <w:rPr>
                <w:sz w:val="21"/>
              </w:rPr>
            </w:pPr>
            <w:r>
              <w:rPr>
                <w:sz w:val="21"/>
              </w:rPr>
              <w:t>$0.120</w:t>
            </w:r>
          </w:p>
        </w:tc>
      </w:tr>
      <w:tr>
        <w:trPr>
          <w:trHeight w:val="594" w:hRule="atLeast"/>
        </w:trPr>
        <w:tc>
          <w:tcPr>
            <w:tcW w:w="4590" w:type="dxa"/>
            <w:tcBorders/>
            <w:vAlign w:val="center"/>
          </w:tcPr>
          <w:p>
            <w:pPr>
              <w:pStyle w:val="Normal"/>
              <w:rPr>
                <w:b/>
                <w:sz w:val="21"/>
              </w:rPr>
            </w:pPr>
            <w:r>
              <w:rPr>
                <w:b/>
                <w:sz w:val="21"/>
              </w:rPr>
              <w:t>50 MDth/day to 125 MDth/day</w:t>
            </w:r>
          </w:p>
        </w:tc>
        <w:tc>
          <w:tcPr>
            <w:tcW w:w="1015" w:type="dxa"/>
            <w:tcBorders/>
            <w:vAlign w:val="center"/>
          </w:tcPr>
          <w:p>
            <w:pPr>
              <w:pStyle w:val="Normal"/>
              <w:jc w:val="center"/>
              <w:rPr>
                <w:sz w:val="21"/>
              </w:rPr>
            </w:pPr>
            <w:r>
              <w:rPr>
                <w:sz w:val="21"/>
              </w:rPr>
              <w:t>$0.145</w:t>
            </w:r>
          </w:p>
        </w:tc>
        <w:tc>
          <w:tcPr>
            <w:tcW w:w="1466" w:type="dxa"/>
            <w:tcBorders/>
            <w:vAlign w:val="center"/>
          </w:tcPr>
          <w:p>
            <w:pPr>
              <w:pStyle w:val="Normal"/>
              <w:jc w:val="center"/>
              <w:rPr>
                <w:sz w:val="21"/>
              </w:rPr>
            </w:pPr>
            <w:r>
              <w:rPr>
                <w:sz w:val="21"/>
              </w:rPr>
              <w:t>$0.140</w:t>
            </w:r>
          </w:p>
        </w:tc>
        <w:tc>
          <w:tcPr>
            <w:tcW w:w="1466" w:type="dxa"/>
            <w:gridSpan w:val="2"/>
            <w:tcBorders>
              <w:end w:val="double" w:sz="18" w:space="0" w:color="000000"/>
            </w:tcBorders>
            <w:vAlign w:val="center"/>
          </w:tcPr>
          <w:p>
            <w:pPr>
              <w:pStyle w:val="Normal"/>
              <w:jc w:val="center"/>
              <w:rPr>
                <w:sz w:val="21"/>
              </w:rPr>
            </w:pPr>
            <w:r>
              <w:rPr>
                <w:sz w:val="21"/>
              </w:rPr>
              <w:t>$0.135</w:t>
            </w:r>
          </w:p>
        </w:tc>
        <w:tc>
          <w:tcPr>
            <w:tcW w:w="1465" w:type="dxa"/>
            <w:tcBorders/>
            <w:vAlign w:val="center"/>
          </w:tcPr>
          <w:p>
            <w:pPr>
              <w:pStyle w:val="Normal"/>
              <w:jc w:val="center"/>
              <w:rPr>
                <w:sz w:val="21"/>
              </w:rPr>
            </w:pPr>
            <w:r>
              <w:rPr>
                <w:sz w:val="21"/>
              </w:rPr>
              <w:t>$0.160</w:t>
            </w:r>
          </w:p>
        </w:tc>
        <w:tc>
          <w:tcPr>
            <w:tcW w:w="1466" w:type="dxa"/>
            <w:tcBorders/>
            <w:vAlign w:val="center"/>
          </w:tcPr>
          <w:p>
            <w:pPr>
              <w:pStyle w:val="Normal"/>
              <w:jc w:val="center"/>
              <w:rPr>
                <w:sz w:val="21"/>
              </w:rPr>
            </w:pPr>
            <w:r>
              <w:rPr>
                <w:sz w:val="21"/>
              </w:rPr>
              <w:t>$0.145</w:t>
            </w:r>
          </w:p>
        </w:tc>
        <w:tc>
          <w:tcPr>
            <w:tcW w:w="1466" w:type="dxa"/>
            <w:tcBorders/>
            <w:vAlign w:val="center"/>
          </w:tcPr>
          <w:p>
            <w:pPr>
              <w:pStyle w:val="Normal"/>
              <w:jc w:val="center"/>
              <w:rPr>
                <w:sz w:val="21"/>
              </w:rPr>
            </w:pPr>
            <w:r>
              <w:rPr>
                <w:sz w:val="21"/>
              </w:rPr>
              <w:t>$0.135</w:t>
            </w:r>
          </w:p>
        </w:tc>
        <w:tc>
          <w:tcPr>
            <w:tcW w:w="1466" w:type="dxa"/>
            <w:tcBorders/>
            <w:vAlign w:val="center"/>
          </w:tcPr>
          <w:p>
            <w:pPr>
              <w:pStyle w:val="Normal"/>
              <w:jc w:val="center"/>
              <w:rPr>
                <w:sz w:val="21"/>
              </w:rPr>
            </w:pPr>
            <w:r>
              <w:rPr>
                <w:sz w:val="21"/>
              </w:rPr>
              <w:t>$0.125</w:t>
            </w:r>
          </w:p>
        </w:tc>
      </w:tr>
      <w:tr>
        <w:trPr>
          <w:trHeight w:val="594" w:hRule="atLeast"/>
        </w:trPr>
        <w:tc>
          <w:tcPr>
            <w:tcW w:w="4590" w:type="dxa"/>
            <w:tcBorders/>
            <w:vAlign w:val="center"/>
          </w:tcPr>
          <w:p>
            <w:pPr>
              <w:pStyle w:val="Normal"/>
              <w:rPr>
                <w:b/>
                <w:sz w:val="21"/>
              </w:rPr>
            </w:pPr>
            <w:r>
              <w:rPr>
                <w:b/>
                <w:sz w:val="21"/>
              </w:rPr>
              <w:t>Below 50 MDth/day</w:t>
            </w:r>
          </w:p>
        </w:tc>
        <w:tc>
          <w:tcPr>
            <w:tcW w:w="1015" w:type="dxa"/>
            <w:tcBorders/>
            <w:vAlign w:val="center"/>
          </w:tcPr>
          <w:p>
            <w:pPr>
              <w:pStyle w:val="Normal"/>
              <w:jc w:val="center"/>
              <w:rPr>
                <w:sz w:val="21"/>
              </w:rPr>
            </w:pPr>
            <w:r>
              <w:rPr>
                <w:sz w:val="21"/>
              </w:rPr>
              <w:t>$0.150</w:t>
            </w:r>
          </w:p>
        </w:tc>
        <w:tc>
          <w:tcPr>
            <w:tcW w:w="1466" w:type="dxa"/>
            <w:tcBorders/>
            <w:vAlign w:val="center"/>
          </w:tcPr>
          <w:p>
            <w:pPr>
              <w:pStyle w:val="Normal"/>
              <w:jc w:val="center"/>
              <w:rPr>
                <w:sz w:val="21"/>
              </w:rPr>
            </w:pPr>
            <w:r>
              <w:rPr>
                <w:sz w:val="21"/>
              </w:rPr>
              <w:t>$0.145</w:t>
            </w:r>
          </w:p>
        </w:tc>
        <w:tc>
          <w:tcPr>
            <w:tcW w:w="1466" w:type="dxa"/>
            <w:gridSpan w:val="2"/>
            <w:tcBorders>
              <w:end w:val="double" w:sz="18" w:space="0" w:color="000000"/>
            </w:tcBorders>
            <w:vAlign w:val="center"/>
          </w:tcPr>
          <w:p>
            <w:pPr>
              <w:pStyle w:val="Normal"/>
              <w:jc w:val="center"/>
              <w:rPr>
                <w:sz w:val="21"/>
              </w:rPr>
            </w:pPr>
            <w:r>
              <w:rPr>
                <w:sz w:val="21"/>
              </w:rPr>
              <w:t>$0.140</w:t>
            </w:r>
          </w:p>
        </w:tc>
        <w:tc>
          <w:tcPr>
            <w:tcW w:w="1465" w:type="dxa"/>
            <w:tcBorders/>
            <w:vAlign w:val="center"/>
          </w:tcPr>
          <w:p>
            <w:pPr>
              <w:pStyle w:val="Normal"/>
              <w:jc w:val="center"/>
              <w:rPr>
                <w:sz w:val="21"/>
              </w:rPr>
            </w:pPr>
            <w:r>
              <w:rPr>
                <w:sz w:val="21"/>
              </w:rPr>
              <w:t>$0.165</w:t>
            </w:r>
          </w:p>
        </w:tc>
        <w:tc>
          <w:tcPr>
            <w:tcW w:w="1466" w:type="dxa"/>
            <w:tcBorders/>
            <w:vAlign w:val="center"/>
          </w:tcPr>
          <w:p>
            <w:pPr>
              <w:pStyle w:val="Normal"/>
              <w:jc w:val="center"/>
              <w:rPr>
                <w:sz w:val="21"/>
              </w:rPr>
            </w:pPr>
            <w:r>
              <w:rPr>
                <w:sz w:val="21"/>
              </w:rPr>
              <w:t>$0.150</w:t>
            </w:r>
          </w:p>
        </w:tc>
        <w:tc>
          <w:tcPr>
            <w:tcW w:w="1466" w:type="dxa"/>
            <w:tcBorders/>
            <w:vAlign w:val="center"/>
          </w:tcPr>
          <w:p>
            <w:pPr>
              <w:pStyle w:val="Normal"/>
              <w:jc w:val="center"/>
              <w:rPr>
                <w:sz w:val="21"/>
              </w:rPr>
            </w:pPr>
            <w:r>
              <w:rPr>
                <w:sz w:val="21"/>
              </w:rPr>
              <w:t>$0.140</w:t>
            </w:r>
          </w:p>
        </w:tc>
        <w:tc>
          <w:tcPr>
            <w:tcW w:w="1466" w:type="dxa"/>
            <w:tcBorders/>
            <w:vAlign w:val="center"/>
          </w:tcPr>
          <w:p>
            <w:pPr>
              <w:pStyle w:val="Normal"/>
              <w:jc w:val="center"/>
              <w:rPr>
                <w:sz w:val="21"/>
              </w:rPr>
            </w:pPr>
            <w:r>
              <w:rPr>
                <w:sz w:val="21"/>
              </w:rPr>
              <w:t>$0.130</w:t>
            </w:r>
          </w:p>
        </w:tc>
      </w:tr>
      <w:tr>
        <w:trPr>
          <w:trHeight w:val="595" w:hRule="atLeast"/>
        </w:trPr>
        <w:tc>
          <w:tcPr>
            <w:tcW w:w="4590" w:type="dxa"/>
            <w:tcBorders/>
            <w:vAlign w:val="center"/>
          </w:tcPr>
          <w:p>
            <w:pPr>
              <w:pStyle w:val="Normal"/>
              <w:rPr>
                <w:b/>
                <w:sz w:val="21"/>
              </w:rPr>
            </w:pPr>
            <w:r>
              <w:rPr>
                <w:b/>
                <w:sz w:val="21"/>
              </w:rPr>
              <w:t>Estimated Fuel  and L&amp;U (@ $3.00 / Dth)</w:t>
            </w:r>
          </w:p>
        </w:tc>
        <w:tc>
          <w:tcPr>
            <w:tcW w:w="1015" w:type="dxa"/>
            <w:tcBorders/>
            <w:vAlign w:val="center"/>
          </w:tcPr>
          <w:p>
            <w:pPr>
              <w:pStyle w:val="Normal"/>
              <w:jc w:val="center"/>
              <w:rPr>
                <w:sz w:val="21"/>
              </w:rPr>
            </w:pPr>
            <w:r>
              <w:rPr>
                <w:sz w:val="21"/>
              </w:rPr>
              <w:t>$0.018</w:t>
            </w:r>
          </w:p>
        </w:tc>
        <w:tc>
          <w:tcPr>
            <w:tcW w:w="1466" w:type="dxa"/>
            <w:tcBorders/>
            <w:vAlign w:val="center"/>
          </w:tcPr>
          <w:p>
            <w:pPr>
              <w:pStyle w:val="Normal"/>
              <w:jc w:val="center"/>
              <w:rPr>
                <w:sz w:val="21"/>
              </w:rPr>
            </w:pPr>
            <w:r>
              <w:rPr>
                <w:sz w:val="21"/>
              </w:rPr>
              <w:t>$0.021</w:t>
            </w:r>
          </w:p>
        </w:tc>
        <w:tc>
          <w:tcPr>
            <w:tcW w:w="1466" w:type="dxa"/>
            <w:gridSpan w:val="2"/>
            <w:tcBorders>
              <w:end w:val="double" w:sz="18" w:space="0" w:color="000000"/>
            </w:tcBorders>
            <w:vAlign w:val="center"/>
          </w:tcPr>
          <w:p>
            <w:pPr>
              <w:pStyle w:val="Normal"/>
              <w:jc w:val="center"/>
              <w:rPr>
                <w:sz w:val="21"/>
              </w:rPr>
            </w:pPr>
            <w:r>
              <w:rPr>
                <w:sz w:val="21"/>
              </w:rPr>
              <w:t>$0.027</w:t>
            </w:r>
          </w:p>
        </w:tc>
        <w:tc>
          <w:tcPr>
            <w:tcW w:w="1465" w:type="dxa"/>
            <w:tcBorders/>
            <w:vAlign w:val="center"/>
          </w:tcPr>
          <w:p>
            <w:pPr>
              <w:pStyle w:val="Normal"/>
              <w:jc w:val="center"/>
              <w:rPr>
                <w:sz w:val="21"/>
              </w:rPr>
            </w:pPr>
            <w:r>
              <w:rPr>
                <w:sz w:val="21"/>
              </w:rPr>
              <w:t>$0.016</w:t>
            </w:r>
          </w:p>
        </w:tc>
        <w:tc>
          <w:tcPr>
            <w:tcW w:w="1466" w:type="dxa"/>
            <w:tcBorders/>
            <w:vAlign w:val="center"/>
          </w:tcPr>
          <w:p>
            <w:pPr>
              <w:pStyle w:val="Normal"/>
              <w:jc w:val="center"/>
              <w:rPr>
                <w:sz w:val="21"/>
              </w:rPr>
            </w:pPr>
            <w:r>
              <w:rPr>
                <w:sz w:val="21"/>
              </w:rPr>
              <w:t>$0.017</w:t>
            </w:r>
          </w:p>
        </w:tc>
        <w:tc>
          <w:tcPr>
            <w:tcW w:w="1466" w:type="dxa"/>
            <w:tcBorders/>
            <w:vAlign w:val="center"/>
          </w:tcPr>
          <w:p>
            <w:pPr>
              <w:pStyle w:val="Normal"/>
              <w:jc w:val="center"/>
              <w:rPr/>
            </w:pPr>
            <w:r>
              <w:rPr>
                <w:sz w:val="21"/>
              </w:rPr>
              <w:t>$0.019</w:t>
            </w:r>
            <w:r>
              <w:rPr>
                <w:sz w:val="21"/>
                <w:vertAlign w:val="superscript"/>
              </w:rPr>
              <w:t xml:space="preserve"> </w:t>
            </w:r>
          </w:p>
        </w:tc>
        <w:tc>
          <w:tcPr>
            <w:tcW w:w="1466" w:type="dxa"/>
            <w:tcBorders/>
            <w:vAlign w:val="center"/>
          </w:tcPr>
          <w:p>
            <w:pPr>
              <w:pStyle w:val="Normal"/>
              <w:jc w:val="center"/>
              <w:rPr/>
            </w:pPr>
            <w:r>
              <w:rPr>
                <w:sz w:val="21"/>
              </w:rPr>
              <w:t>$0.020</w:t>
            </w:r>
            <w:r>
              <w:rPr>
                <w:sz w:val="21"/>
                <w:vertAlign w:val="superscript"/>
              </w:rPr>
              <w:t xml:space="preserve"> (3)</w:t>
            </w:r>
          </w:p>
        </w:tc>
      </w:tr>
    </w:tbl>
    <w:p>
      <w:pPr>
        <w:pStyle w:val="Normal"/>
        <w:rPr>
          <w:b/>
          <w:sz w:val="21"/>
        </w:rPr>
      </w:pPr>
      <w:r>
        <w:rPr>
          <w:b/>
          <w:sz w:val="21"/>
        </w:rPr>
      </w:r>
    </w:p>
    <w:p>
      <w:pPr>
        <w:pStyle w:val="Normal"/>
        <w:rPr>
          <w:b/>
          <w:sz w:val="16"/>
        </w:rPr>
      </w:pPr>
      <w:r>
        <w:rPr>
          <w:b/>
          <w:sz w:val="21"/>
        </w:rPr>
        <w:t>Notes:</w:t>
      </w:r>
    </w:p>
    <w:p>
      <w:pPr>
        <w:pStyle w:val="Normal"/>
        <w:numPr>
          <w:ilvl w:val="0"/>
          <w:numId w:val="2"/>
        </w:numPr>
        <w:jc w:val="both"/>
        <w:rPr>
          <w:sz w:val="16"/>
        </w:rPr>
      </w:pPr>
      <w:r>
        <w:rPr>
          <w:sz w:val="16"/>
        </w:rPr>
        <w:t xml:space="preserve">The maximum Ramp Up Period is 2 years, with a minimum of 40% of the Individual Shipper's MDQ required beginning in Year 1, 70% in Year 2, and 100% in Year 3 and thereafter.  An Initial Loop Shipper may contract for higher MDQ levels during the period up to 2 years from the Loop In-Service Date so as to accelerate reaching its Individual Shipper MDQ earlier, provided that WIC can economically justify installing the related facilities when needed.  Upon reaching its Individual Shipper MDQ, an Initial Loop Shipper shall be charged the daily reservation rate in effect as if all Initial Loop Shippers had completed their Ramp Up Periods at the applicable Cumulative MDQ Volume (i.e., had reached their Individual Shippers' MDQ levels).  The daily reservation rate during the Ramp Up Period shall be $0.170 per Dth/d. In the event Loop Shippers request Cumulative MDQ Volumes between the indicated rate levels shown above, WIC and the Loop Shippers shall negotiate to determine whether each affected Loop Shipper will either a) receive its pro-rata share of the next lower level, or b) agree to subscribe to a higher design level of Cumulative MDQ Volumes to achieve the next highest level. </w:t>
      </w:r>
    </w:p>
    <w:p>
      <w:pPr>
        <w:pStyle w:val="Normal"/>
        <w:jc w:val="both"/>
        <w:rPr>
          <w:sz w:val="16"/>
        </w:rPr>
      </w:pPr>
      <w:r>
        <w:rPr>
          <w:sz w:val="16"/>
        </w:rPr>
      </w:r>
    </w:p>
    <w:p>
      <w:pPr>
        <w:pStyle w:val="Normal"/>
        <w:numPr>
          <w:ilvl w:val="0"/>
          <w:numId w:val="2"/>
        </w:numPr>
        <w:jc w:val="both"/>
        <w:rPr>
          <w:sz w:val="16"/>
        </w:rPr>
      </w:pPr>
      <w:r>
        <w:rPr>
          <w:sz w:val="16"/>
        </w:rPr>
        <w:t>If the Cumulative MDQ increases during the first four years following the Loop In-service Date, the reservation rate payable by an Initial Loop Shipper shall be reduced as follows.  An Initial Loop Shipper may move laterally through the table for a given pipe size, but not vertically.  For example, if an Initial Loop Shipper’s MDQ is 100 MDth/d and the Cumulative MDQ Volume is 500 MDth/d on the Loop In-Service Date, then that Initial Loop Shipper's reservation rate after the Ramp-Up Period is $0.16 per Dth/day.  Assuming the Cumulative MDQ Volume increases to 560 MDth/d after two years and 620 MDth/d after three years, an Initial Loop Shipper’s daily reservation rate will be reduced (coincident with the attainment of the new Cumulative MDQ Volume levels), first to $0.145 per Dth/d and then to $0.135 per Dth/d.  In the event the Cumulative MDQ Volume is between the Cumulative MDQ Volume levels shown above, an Initial Loop Shipper's daily reservation rate shall be that applicable to the lower Cumulative MDQ Volume level.</w:t>
      </w:r>
    </w:p>
    <w:p>
      <w:pPr>
        <w:pStyle w:val="Normal"/>
        <w:jc w:val="both"/>
        <w:rPr>
          <w:sz w:val="16"/>
        </w:rPr>
      </w:pPr>
      <w:r>
        <w:rPr>
          <w:sz w:val="16"/>
        </w:rPr>
      </w:r>
    </w:p>
    <w:p>
      <w:pPr>
        <w:pStyle w:val="Normal"/>
        <w:numPr>
          <w:ilvl w:val="0"/>
          <w:numId w:val="2"/>
        </w:numPr>
        <w:jc w:val="both"/>
        <w:rPr>
          <w:sz w:val="16"/>
        </w:rPr>
      </w:pPr>
      <w:r>
        <w:rPr>
          <w:sz w:val="16"/>
        </w:rPr>
        <w:t>This estimated fuel usage will increase as compression is added for higher volumes.</w:t>
      </w:r>
    </w:p>
    <w:p>
      <w:pPr>
        <w:pStyle w:val="Heading3"/>
        <w:ind w:hanging="0" w:start="0"/>
        <w:rPr>
          <w:sz w:val="21"/>
        </w:rPr>
      </w:pPr>
      <w:r>
        <w:rPr>
          <w:sz w:val="21"/>
        </w:rPr>
      </w:r>
    </w:p>
    <w:p>
      <w:pPr>
        <w:pStyle w:val="Normal"/>
        <w:rPr>
          <w:b/>
          <w:sz w:val="21"/>
        </w:rPr>
      </w:pPr>
      <w:r>
        <w:rPr>
          <w:b/>
          <w:sz w:val="21"/>
        </w:rPr>
      </w:r>
    </w:p>
    <w:sectPr>
      <w:footerReference w:type="default" r:id="rId4"/>
      <w:footerReference w:type="first" r:id="rId5"/>
      <w:type w:val="nextPage"/>
      <w:pgSz w:orient="landscape" w:w="15840" w:h="12240"/>
      <w:pgMar w:left="720" w:right="720" w:gutter="0" w:header="0" w:top="1440" w:footer="720" w:bottom="776"/>
      <w:pgNumType w:start="1" w:fmt="lowerRoman"/>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7785" cy="131445"/>
              <wp:effectExtent l="0" t="0" r="0" b="0"/>
              <wp:wrapSquare wrapText="bothSides"/>
              <wp:docPr id="1" name="Frame2"/>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8</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13.75pt;mso-position-horizontal:center;mso-position-horizontal-relative:margin">
              <v:fill opacity="0f"/>
              <v:textbox inset="0in,0in,0in,0in">
                <w:txbxContent>
                  <w:p>
                    <w:pPr>
                      <w:pStyle w:val="Foo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8</w:t>
                    </w:r>
                    <w:r>
                      <w:rPr>
                        <w:rStyle w:val="PageNumber"/>
                        <w:sz w:val="18"/>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3144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rPr>
                              <w:rStyle w:val="PageNumber"/>
                              <w:sz w:val="18"/>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sz w:val="18"/>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64135" cy="131445"/>
              <wp:effectExtent l="0" t="0" r="0" b="0"/>
              <wp:wrapSquare wrapText="bothSides"/>
              <wp:docPr id="7" name="Frame6"/>
              <a:graphic xmlns:a="http://schemas.openxmlformats.org/drawingml/2006/main">
                <a:graphicData uri="http://schemas.microsoft.com/office/word/2010/wordprocessingShape">
                  <wps:wsp>
                    <wps:cNvSpPr txBox="1"/>
                    <wps:spPr>
                      <a:xfrm>
                        <a:off x="0" y="0"/>
                        <a:ext cx="64135" cy="131445"/>
                      </a:xfrm>
                      <a:prstGeom prst="rect"/>
                      <a:solidFill>
                        <a:srgbClr val="FFFFFF">
                          <a:alpha val="0"/>
                        </a:srgbClr>
                      </a:solidFill>
                    </wps:spPr>
                    <wps:txbx>
                      <w:txbxContent>
                        <w:p>
                          <w:pPr>
                            <w:pStyle w:val="Foo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ii</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5.05pt;height:10.35pt;mso-wrap-distance-left:0pt;mso-wrap-distance-right:0pt;mso-wrap-distance-top:0pt;mso-wrap-distance-bottom:0pt;margin-top:0.05pt;mso-position-vertical-relative:text;margin-left:357.5pt;mso-position-horizontal:center;mso-position-horizontal-relative:margin">
              <v:fill opacity="0f"/>
              <v:textbox inset="0in,0in,0in,0in">
                <w:txbxContent>
                  <w:p>
                    <w:pPr>
                      <w:pStyle w:val="Foo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ii</w:t>
                    </w:r>
                    <w:r>
                      <w:rPr>
                        <w:rStyle w:val="PageNumber"/>
                        <w:sz w:val="18"/>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32385" cy="131445"/>
              <wp:effectExtent l="0" t="0" r="0" b="0"/>
              <wp:wrapSquare wrapText="bothSides"/>
              <wp:docPr id="8" name="Frame4"/>
              <a:graphic xmlns:a="http://schemas.openxmlformats.org/drawingml/2006/main">
                <a:graphicData uri="http://schemas.microsoft.com/office/word/2010/wordprocessingShape">
                  <wps:wsp>
                    <wps:cNvSpPr txBox="1"/>
                    <wps:spPr>
                      <a:xfrm>
                        <a:off x="0" y="0"/>
                        <a:ext cx="32385" cy="131445"/>
                      </a:xfrm>
                      <a:prstGeom prst="rect"/>
                      <a:solidFill>
                        <a:srgbClr val="FFFFFF">
                          <a:alpha val="0"/>
                        </a:srgbClr>
                      </a:solidFill>
                    </wps:spPr>
                    <wps:txbx>
                      <w:txbxContent>
                        <w:p>
                          <w:pPr>
                            <w:pStyle w:val="Foo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i</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2.55pt;height:10.35pt;mso-wrap-distance-left:0pt;mso-wrap-distance-right:0pt;mso-wrap-distance-top:0pt;mso-wrap-distance-bottom:0pt;margin-top:0.05pt;mso-position-vertical-relative:text;margin-left:358.75pt;mso-position-horizontal:center;mso-position-horizontal-relative:margin">
              <v:fill opacity="0f"/>
              <v:textbox inset="0in,0in,0in,0in">
                <w:txbxContent>
                  <w:p>
                    <w:pPr>
                      <w:pStyle w:val="Foo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i</w:t>
                    </w:r>
                    <w:r>
                      <w:rPr>
                        <w:rStyle w:val="PageNumber"/>
                        <w:sz w:val="18"/>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3"/>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1440"/>
        </w:tabs>
        <w:ind w:start="1440" w:hanging="720"/>
      </w:pPr>
      <w:rPr/>
    </w:lvl>
  </w:abstractNum>
  <w:abstractNum w:abstractNumId="5">
    <w:lvl w:ilvl="0">
      <w:start w:val="1"/>
      <w:numFmt w:val="decimal"/>
      <w:lvlText w:val="(%1)"/>
      <w:lvlJc w:val="start"/>
      <w:pPr>
        <w:tabs>
          <w:tab w:val="num" w:pos="1440"/>
        </w:tabs>
        <w:ind w:start="1440" w:hanging="720"/>
      </w:pPr>
      <w:rPr/>
    </w:lvl>
  </w:abstractNum>
  <w:abstractNum w:abstractNumId="6">
    <w:lvl w:ilvl="0">
      <w:start w:val="1"/>
      <w:numFmt w:val="low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u w:val="single"/>
    </w:rPr>
  </w:style>
  <w:style w:type="paragraph" w:styleId="Heading2">
    <w:name w:val="heading 2"/>
    <w:basedOn w:val="Normal"/>
    <w:next w:val="Normal"/>
    <w:qFormat/>
    <w:pPr>
      <w:keepNext w:val="true"/>
      <w:numPr>
        <w:ilvl w:val="1"/>
        <w:numId w:val="1"/>
      </w:numPr>
      <w:outlineLvl w:val="1"/>
    </w:pPr>
    <w:rPr>
      <w:b/>
      <w:sz w:val="28"/>
    </w:rPr>
  </w:style>
  <w:style w:type="paragraph" w:styleId="Heading3">
    <w:name w:val="heading 3"/>
    <w:basedOn w:val="Normal"/>
    <w:next w:val="Normal"/>
    <w:qFormat/>
    <w:pPr>
      <w:keepNext w:val="true"/>
      <w:numPr>
        <w:ilvl w:val="2"/>
        <w:numId w:val="1"/>
      </w:numPr>
      <w:jc w:val="center"/>
      <w:outlineLvl w:val="2"/>
    </w:pPr>
    <w:rPr>
      <w:sz w:val="28"/>
    </w:rPr>
  </w:style>
  <w:style w:type="paragraph" w:styleId="Heading4">
    <w:name w:val="heading 4"/>
    <w:basedOn w:val="Normal"/>
    <w:next w:val="Normal"/>
    <w:qFormat/>
    <w:pPr>
      <w:keepNext w:val="true"/>
      <w:numPr>
        <w:ilvl w:val="3"/>
        <w:numId w:val="1"/>
      </w:numPr>
      <w:jc w:val="center"/>
      <w:outlineLvl w:val="3"/>
    </w:pPr>
    <w:rPr>
      <w:b/>
      <w:sz w:val="2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2000-07-07T19:26:00Z</dcterms:created>
  <dc:creator>roseg</dc:creator>
  <dc:description/>
  <dc:language>en-CA</dc:language>
  <cp:lastModifiedBy>roseg</cp:lastModifiedBy>
  <cp:lastPrinted>2000-07-06T15:10:00Z</cp:lastPrinted>
  <dcterms:modified xsi:type="dcterms:W3CDTF">2000-07-07T19:36:00Z</dcterms:modified>
  <cp:revision>3</cp:revision>
  <dc:subject/>
  <dc:title>Agreement</dc:title>
</cp:coreProperties>
</file>