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LIVINGSTON ENERGY CENTER</w:t>
      </w:r>
    </w:p>
    <w:p>
      <w:pPr>
        <w:pStyle w:val="Normal"/>
        <w:jc w:val="center"/>
        <w:rPr>
          <w:b/>
        </w:rPr>
      </w:pPr>
      <w:r>
        <w:rPr>
          <w:b/>
        </w:rPr>
      </w:r>
    </w:p>
    <w:p>
      <w:pPr>
        <w:pStyle w:val="Normal"/>
        <w:jc w:val="center"/>
        <w:rPr>
          <w:b/>
          <w:u w:val="single"/>
        </w:rPr>
      </w:pPr>
      <w:r>
        <w:rPr>
          <w:b/>
          <w:u w:val="single"/>
        </w:rPr>
        <w:t>DRAFT RESPONSE TO QUESTIONS.</w:t>
      </w:r>
    </w:p>
    <w:p>
      <w:pPr>
        <w:pStyle w:val="Normal"/>
        <w:jc w:val="center"/>
        <w:rPr/>
      </w:pPr>
      <w:r>
        <w:rPr/>
      </w:r>
    </w:p>
    <w:p>
      <w:pPr>
        <w:pStyle w:val="Normal"/>
        <w:jc w:val="center"/>
        <w:rPr/>
      </w:pPr>
      <w:r>
        <w:rPr/>
      </w:r>
    </w:p>
    <w:p>
      <w:pPr>
        <w:pStyle w:val="Normal"/>
        <w:jc w:val="center"/>
        <w:rPr/>
      </w:pPr>
      <w:r>
        <w:rPr/>
        <w:t>September 22, 2000</w:t>
      </w:r>
    </w:p>
    <w:p>
      <w:pPr>
        <w:pStyle w:val="Normal"/>
        <w:jc w:val="center"/>
        <w:rPr/>
      </w:pPr>
      <w:r>
        <w:rPr/>
      </w:r>
    </w:p>
    <w:p>
      <w:pPr>
        <w:pStyle w:val="Normal"/>
        <w:jc w:val="center"/>
        <w:rPr/>
      </w:pPr>
      <w:r>
        <w:rPr/>
      </w:r>
    </w:p>
    <w:p>
      <w:pPr>
        <w:pStyle w:val="Normal"/>
        <w:jc w:val="both"/>
        <w:rPr/>
      </w:pPr>
      <w:r>
        <w:rPr/>
        <w:t>Titan Land Development Co., L.L.C. (the "Developer") as applicant for a special use for a power generation facility to be known as the Livingston Energy Center (the "Project") is pleased to have the opportunity to respond to certain questions presented by Livingston County.  The Project is to be located on an approximately 117 acre parcel at the Northeast corner of 1400 N. and 1700 E. Roads in Eppards Point Township, Livingston County, Illinois (the "Property").  The questions are repeated in italics below along with our response.  Further and more detailed information regarding the Project can be found in the Application for Special Use binder submitted to the County on August 30, 2000 (the "Application").  We would, of course, be happy to respond directly if you require additional information.</w:t>
      </w:r>
    </w:p>
    <w:p>
      <w:pPr>
        <w:pStyle w:val="Normal"/>
        <w:rPr/>
      </w:pPr>
      <w:r>
        <w:rPr/>
      </w:r>
    </w:p>
    <w:p>
      <w:pPr>
        <w:pStyle w:val="Normal"/>
        <w:numPr>
          <w:ilvl w:val="0"/>
          <w:numId w:val="1"/>
        </w:numPr>
        <w:tabs>
          <w:tab w:val="left" w:pos="720" w:leader="none"/>
        </w:tabs>
        <w:ind w:hanging="720" w:start="720" w:end="0"/>
        <w:jc w:val="both"/>
        <w:rPr/>
      </w:pPr>
      <w:r>
        <w:rPr>
          <w:i/>
        </w:rPr>
        <w:t>Of the total investment, what percentage of the Project would be considered real estate for assessed evaluation purposes?</w:t>
      </w:r>
    </w:p>
    <w:p>
      <w:pPr>
        <w:pStyle w:val="Normal"/>
        <w:jc w:val="both"/>
        <w:rPr/>
      </w:pPr>
      <w:r>
        <w:rPr/>
      </w:r>
    </w:p>
    <w:p>
      <w:pPr>
        <w:pStyle w:val="BodyTextIndent"/>
        <w:rPr/>
      </w:pPr>
      <w:r>
        <w:rPr/>
        <w:t>Pollina Corporate Real Estate, Inc. ("Pollina") prepared an Economic and Geographic Analysis for Phase I of the Livingston Energy Center dated August 29, 2000, which was included at Tab 3 of the Application (the "Economic Analysis").  While actual determination of the assessed valuation of the Project will be determined by the Livingston Assessor and the assessment process (collectively the "Livingston Assessment Process"), the Economic Analysis was prepared by Pollina based on their extensive experience in real estate assessments and taxation, in order to provide a reasoned estimate of the potential tax revenues from the Project.  As the question identifies, like all agricultural, residential, commercial and industrial facilities, a portion of the Project is deemed to be real property, being those items which are deemed to be either real estate or fixtures to the real estate.  Other equipment and machinery which are not deemed to be real property, will be considered to be personal property and thus not subject to real estate taxes.  The Economic Analysis assumes, based on experiences with similar generation facilities proposed for Will and Kendall counties, a real property component of between 7.5% and 15% of the total Project cost of real estate and improvements.  The actual assessment and portion attributed to real property will be determined by the Livingston Assessment Process.</w:t>
      </w:r>
    </w:p>
    <w:p>
      <w:pPr>
        <w:pStyle w:val="BodyTextIndent"/>
        <w:rPr/>
      </w:pPr>
      <w:r>
        <w:rPr/>
      </w:r>
    </w:p>
    <w:p>
      <w:pPr>
        <w:pStyle w:val="Normal"/>
        <w:numPr>
          <w:ilvl w:val="0"/>
          <w:numId w:val="1"/>
        </w:numPr>
        <w:tabs>
          <w:tab w:val="left" w:pos="720" w:leader="none"/>
        </w:tabs>
        <w:ind w:hanging="720" w:start="720" w:end="0"/>
        <w:jc w:val="both"/>
        <w:rPr/>
      </w:pPr>
      <w:r>
        <w:rPr>
          <w:i/>
        </w:rPr>
        <w:t>What actual figure/data did Enron use to arrive at the $500K/year real estate tax for the first phase?, I.E., What rate and total real estate assessments were used?</w:t>
      </w:r>
    </w:p>
    <w:p>
      <w:pPr>
        <w:pStyle w:val="Normal"/>
        <w:jc w:val="both"/>
        <w:rPr/>
      </w:pPr>
      <w:r>
        <w:rPr/>
      </w:r>
    </w:p>
    <w:p>
      <w:pPr>
        <w:pStyle w:val="Normal"/>
        <w:ind w:start="720" w:end="0"/>
        <w:jc w:val="both"/>
        <w:rPr/>
      </w:pPr>
      <w:r>
        <w:rPr/>
        <w:t xml:space="preserve">The Developer has estimated the Project cost for the 4-6 generators constituting the first phase of the Project (the "First Phase") as approximately $150,000,000 based on the extensive experience in development of similar facilities by the Developer's parent corporation, Enron North America Corp.  Assuming a real property component of 15% (see response to Question 1 above) that would result in a real property component of $22,500,000 (i.e. the Project cost times the real property component percentage).  Based on these assumptions, the Economic Analysis indicates that Phase I is anticipated to have the highest assessed valuation in Eppards Point Township, and one of the highest assessed valuations in Livingston County.  The State of Illinois applies an equalizer to all Livingston property at a rate of .3333 of market value, resulting in an equalized assessed valuation for the Project of approximately $7,500,000 (i.e. $22,500,000 times .3333).  The Economic Analysis includes, on page 9, the applicable tax rates for the individual tax bodies for 1999, which are in effect for the year 2000.  The 2000 tax rates (which will be in effect for the year 2001) will not be available until the spring of the year 2001.  Multiplying the 1999 total tax rate of .0698672 by the equalized assessed valuation of approximately $7,500,000, results in total potential annual tax revenues to the community of in excess of $500,000. </w:t>
      </w:r>
      <w:r>
        <w:rPr>
          <w:b/>
        </w:rPr>
        <w:t>[Question for Pollina, my calculations, which were done without rounding, identify a total of $523,951.60, while your report shows $523,599, is this just rounding?]</w:t>
      </w:r>
      <w:r>
        <w:rPr/>
        <w:t xml:space="preserve">;  </w:t>
      </w:r>
      <w:r>
        <w:rPr>
          <w:b/>
        </w:rPr>
        <w:t>[Also note, that two grade schools are shown with no high school districts.  Is this correct?]</w:t>
      </w:r>
    </w:p>
    <w:p>
      <w:pPr>
        <w:pStyle w:val="Normal"/>
        <w:jc w:val="both"/>
        <w:rPr/>
      </w:pPr>
      <w:r>
        <w:rPr/>
      </w:r>
    </w:p>
    <w:p>
      <w:pPr>
        <w:pStyle w:val="Normal"/>
        <w:numPr>
          <w:ilvl w:val="0"/>
          <w:numId w:val="1"/>
        </w:numPr>
        <w:tabs>
          <w:tab w:val="left" w:pos="720" w:leader="none"/>
        </w:tabs>
        <w:ind w:hanging="720" w:start="720" w:end="0"/>
        <w:jc w:val="both"/>
        <w:rPr/>
      </w:pPr>
      <w:r>
        <w:rPr>
          <w:i/>
        </w:rPr>
        <w:t xml:space="preserve">Are the turbine generator sets </w:t>
      </w:r>
      <w:r>
        <w:rPr/>
        <w:t>considered</w:t>
      </w:r>
      <w:r>
        <w:rPr>
          <w:i/>
        </w:rPr>
        <w:t xml:space="preserve"> real estate or personal property?</w:t>
      </w:r>
    </w:p>
    <w:p>
      <w:pPr>
        <w:pStyle w:val="Normal"/>
        <w:jc w:val="both"/>
        <w:rPr/>
      </w:pPr>
      <w:r>
        <w:rPr/>
      </w:r>
    </w:p>
    <w:p>
      <w:pPr>
        <w:pStyle w:val="Normal"/>
        <w:ind w:start="720" w:end="0"/>
        <w:jc w:val="both"/>
        <w:rPr/>
      </w:pPr>
      <w:r>
        <w:rPr/>
        <w:t>This is a question which can be best answered only by the Livingston Assessment Process.  Certain counties have chosen to select a percentage of total improvements and real estate costs such as the 15% number indicated above, to resolve this question.  It is our understanding that certain counties have considered different portions of the turbine generator assemblies to be real property (such as foundations and fixtures), thus resulting in the potential range of assessments between 7.5% and 15% identified in the Economic Analysis.</w:t>
      </w:r>
    </w:p>
    <w:p>
      <w:pPr>
        <w:pStyle w:val="Normal"/>
        <w:jc w:val="both"/>
        <w:rPr/>
      </w:pPr>
      <w:r>
        <w:rPr/>
      </w:r>
    </w:p>
    <w:p>
      <w:pPr>
        <w:pStyle w:val="Normal"/>
        <w:numPr>
          <w:ilvl w:val="0"/>
          <w:numId w:val="1"/>
        </w:numPr>
        <w:tabs>
          <w:tab w:val="left" w:pos="720" w:leader="none"/>
        </w:tabs>
        <w:ind w:hanging="720" w:start="720" w:end="0"/>
        <w:jc w:val="both"/>
        <w:rPr/>
      </w:pPr>
      <w:r>
        <w:rPr>
          <w:i/>
        </w:rPr>
        <w:t xml:space="preserve">If the generator sets are not considered real estate, when the next Phase of the Project is completed, would the real estate tax go up?  If so, </w:t>
      </w:r>
      <w:r>
        <w:rPr/>
        <w:t>how</w:t>
      </w:r>
      <w:r>
        <w:rPr>
          <w:i/>
        </w:rPr>
        <w:t xml:space="preserve"> much?</w:t>
      </w:r>
    </w:p>
    <w:p>
      <w:pPr>
        <w:pStyle w:val="Normal"/>
        <w:jc w:val="both"/>
        <w:rPr/>
      </w:pPr>
      <w:r>
        <w:rPr/>
      </w:r>
    </w:p>
    <w:p>
      <w:pPr>
        <w:pStyle w:val="Normal"/>
        <w:ind w:start="720" w:end="0"/>
        <w:jc w:val="both"/>
        <w:rPr/>
      </w:pPr>
      <w:r>
        <w:rPr/>
        <w:t>First, it is important to note that the discussion above in questions 1 through 3 related to determination of what portions of such improvements are considered to be real property and the applicable tax rates.  Whether the real estate tax will go up is dependent on these and numerous other factors, including, appreciation in the value of land increases or decreases in value of existing or new improvements, changes in tax rates, and other factors.  As indicated above, while this determination is made by the Livingston Assessment Process, it is our understanding that in other counties, a portion of the cost of the generator assemblies are considered real property.  The improvements that remain in future phases are not limited solely to the generators, but also the other significant land improvements in foundations and other fixtures which would be necessary to support the inclusion of additional generators.  One of the aspects of this Project which provides incentive to the Developer to create a Project with one of the highest assessed valuations in Livingston County in Phase I alone, is the enhanced economic potential of the future phases.  In addition to tax revenues, the future phases provide additional community benefits including jobs and provision of significant additional power to support the local and regional energy grid.</w:t>
      </w:r>
    </w:p>
    <w:p>
      <w:pPr>
        <w:pStyle w:val="Normal"/>
        <w:jc w:val="both"/>
        <w:rPr/>
      </w:pPr>
      <w:r>
        <w:rPr/>
      </w:r>
    </w:p>
    <w:p>
      <w:pPr>
        <w:pStyle w:val="Normal"/>
        <w:numPr>
          <w:ilvl w:val="0"/>
          <w:numId w:val="1"/>
        </w:numPr>
        <w:tabs>
          <w:tab w:val="left" w:pos="720" w:leader="none"/>
        </w:tabs>
        <w:ind w:hanging="720" w:start="720" w:end="0"/>
        <w:jc w:val="both"/>
        <w:rPr/>
      </w:pPr>
      <w:r>
        <w:rPr>
          <w:i/>
        </w:rPr>
        <w:t xml:space="preserve">Will the real estate values for the Enron Property decrease </w:t>
      </w:r>
      <w:r>
        <w:rPr/>
        <w:t>every</w:t>
      </w:r>
      <w:r>
        <w:rPr>
          <w:i/>
        </w:rPr>
        <w:t xml:space="preserve"> year after the first year, and every year thereafter due to the depreciation on the facilities?</w:t>
      </w:r>
    </w:p>
    <w:p>
      <w:pPr>
        <w:pStyle w:val="Normal"/>
        <w:jc w:val="both"/>
        <w:rPr/>
      </w:pPr>
      <w:r>
        <w:rPr/>
      </w:r>
    </w:p>
    <w:p>
      <w:pPr>
        <w:pStyle w:val="Normal"/>
        <w:ind w:start="720" w:end="0"/>
        <w:jc w:val="both"/>
        <w:rPr/>
      </w:pPr>
      <w:r>
        <w:rPr/>
        <w:t>Appreciation or depreciation of the Project will be dependent upon many factors which will need to be addressed by the Livingston County Assessment Process.  Given economic trends in Illinois, we consider it likely that the value of the real estate will appreciate during the life of the Project.  As with any residential, industrial, commercial or real estate improvements, this will need to be offset against potential depreciation in the value of those assets on the Property which are considered to be real property.  Such depreciation will be offset against anticipated improvements and upgrades of the equipment, including those aimed at  increasing its useful life and maintaining compliance with applicable codes and regulations.  Similarly, we assume the Livingston Assessment Process will address the appreciation and depreciation rates of personal versus real property.</w:t>
      </w:r>
    </w:p>
    <w:p>
      <w:pPr>
        <w:pStyle w:val="Normal"/>
        <w:jc w:val="both"/>
        <w:rPr/>
      </w:pPr>
      <w:r>
        <w:rPr/>
      </w:r>
    </w:p>
    <w:p>
      <w:pPr>
        <w:pStyle w:val="Normal"/>
        <w:numPr>
          <w:ilvl w:val="0"/>
          <w:numId w:val="1"/>
        </w:numPr>
        <w:tabs>
          <w:tab w:val="left" w:pos="720" w:leader="none"/>
        </w:tabs>
        <w:ind w:hanging="720" w:start="720" w:end="0"/>
        <w:jc w:val="both"/>
        <w:rPr/>
      </w:pPr>
      <w:r>
        <w:rPr>
          <w:i/>
        </w:rPr>
        <w:t>Would Enron agree to maintaining assessed values over a given number of years without appealing?</w:t>
      </w:r>
    </w:p>
    <w:p>
      <w:pPr>
        <w:pStyle w:val="Normal"/>
        <w:jc w:val="both"/>
        <w:rPr/>
      </w:pPr>
      <w:r>
        <w:rPr/>
      </w:r>
    </w:p>
    <w:p>
      <w:pPr>
        <w:pStyle w:val="Normal"/>
        <w:ind w:start="720" w:end="0"/>
        <w:jc w:val="both"/>
        <w:rPr/>
      </w:pPr>
      <w:r>
        <w:rPr/>
        <w:t>In previous discussions with Livingston officials, including both the County and Township assessors, the Developer has indicated that it is not opposed to entering into an assessment agreement with the County Assessor which provides protection both to Livingston and to the Project if that is the County's desire.  In other counties, such agreements have assumed a range for determining the real property component of the Project, which would provide appropriate discretion to the Livingston Assessment Process to make that determination.  Both appreciation and depreciation of the asset would still exist as required by law and as exists in industrial, commercial, and residential developments throughout the County and the State of Illinois.  Similarly such assessment agreements would not limit either reductions or increases in the real estate tax rates adopted by each of the effective tax bodies.</w:t>
      </w:r>
    </w:p>
    <w:p>
      <w:pPr>
        <w:pStyle w:val="Normal"/>
        <w:jc w:val="both"/>
        <w:rPr/>
      </w:pPr>
      <w:r>
        <w:rPr/>
      </w:r>
    </w:p>
    <w:p>
      <w:pPr>
        <w:pStyle w:val="Normal"/>
        <w:numPr>
          <w:ilvl w:val="0"/>
          <w:numId w:val="1"/>
        </w:numPr>
        <w:tabs>
          <w:tab w:val="left" w:pos="720" w:leader="none"/>
        </w:tabs>
        <w:ind w:hanging="720" w:start="720" w:end="0"/>
        <w:jc w:val="both"/>
        <w:rPr/>
      </w:pPr>
      <w:r>
        <w:rPr>
          <w:i/>
        </w:rPr>
        <w:t>What is the projected life span of this Project.</w:t>
      </w:r>
    </w:p>
    <w:p>
      <w:pPr>
        <w:pStyle w:val="Normal"/>
        <w:jc w:val="both"/>
        <w:rPr/>
      </w:pPr>
      <w:r>
        <w:rPr/>
      </w:r>
    </w:p>
    <w:p>
      <w:pPr>
        <w:pStyle w:val="Normal"/>
        <w:ind w:start="720" w:end="0"/>
        <w:jc w:val="both"/>
        <w:rPr/>
      </w:pPr>
      <w:r>
        <w:rPr/>
        <w:t>As a general rule, the useful life of the equipment to be incorporated in the Project is approximately 20-30 years.  However, it is fairly typical for such equipment to be improved or upgraded to increase the useful life of the asset.  While the Project represents a dramatic and significant investment in the Township and the County, it is also an important investment for the Developer. Therefore, it is likely the Developer will make the additional investment over time in order to increase the useful life and thus the value of this important asset.</w:t>
      </w:r>
    </w:p>
    <w:p>
      <w:pPr>
        <w:pStyle w:val="Normal"/>
        <w:jc w:val="both"/>
        <w:rPr/>
      </w:pPr>
      <w:r>
        <w:rPr/>
      </w:r>
    </w:p>
    <w:p>
      <w:pPr>
        <w:pStyle w:val="Normal"/>
        <w:numPr>
          <w:ilvl w:val="0"/>
          <w:numId w:val="1"/>
        </w:numPr>
        <w:tabs>
          <w:tab w:val="left" w:pos="720" w:leader="none"/>
        </w:tabs>
        <w:ind w:hanging="720" w:start="720" w:end="0"/>
        <w:jc w:val="both"/>
        <w:rPr/>
      </w:pPr>
      <w:r>
        <w:rPr>
          <w:i/>
        </w:rPr>
        <w:t>Is there a possibility it may be sold to others?  If so, what effect would that have on the County?</w:t>
      </w:r>
    </w:p>
    <w:p>
      <w:pPr>
        <w:pStyle w:val="Normal"/>
        <w:keepNext w:val="true"/>
        <w:keepLines/>
        <w:jc w:val="both"/>
        <w:rPr/>
      </w:pPr>
      <w:r>
        <w:rPr/>
      </w:r>
    </w:p>
    <w:p>
      <w:pPr>
        <w:pStyle w:val="Normal"/>
        <w:keepLines/>
        <w:ind w:start="720" w:end="0"/>
        <w:jc w:val="both"/>
        <w:rPr/>
      </w:pPr>
      <w:r>
        <w:rPr/>
        <w:t xml:space="preserve">In initial meetings with Livingston officials and staff, the importance of providing long term control over the Project was emphasized.  As a result, it was requested that the Project be developed pursuant to a special use, thus, ensuring that the standards and operations for the Project will continue notwithstanding potential changes in ownership.  Similarly, the extensive environmental and other regulations at the state, local and federal levels which govern the safety and reliability of the Project, as discussed in response to question 9 below, also apply notwithstanding any potential changes in ownership.  Therefore, while as with any commercial business investment, the possibility of a sale exists, the effective terms that govern the development and operation of the Project would not be changed by such sale.  This would include all aspects from the site and landscape plan which is intended to be included as part of the Special Use approval, to the environmental and sound regulations which govern development and use of the Project. </w:t>
      </w:r>
    </w:p>
    <w:p>
      <w:pPr>
        <w:pStyle w:val="Normal"/>
        <w:jc w:val="both"/>
        <w:rPr/>
      </w:pPr>
      <w:r>
        <w:rPr/>
      </w:r>
    </w:p>
    <w:p>
      <w:pPr>
        <w:pStyle w:val="Normal"/>
        <w:numPr>
          <w:ilvl w:val="0"/>
          <w:numId w:val="1"/>
        </w:numPr>
        <w:tabs>
          <w:tab w:val="left" w:pos="720" w:leader="none"/>
        </w:tabs>
        <w:ind w:hanging="720" w:start="720" w:end="0"/>
        <w:jc w:val="both"/>
        <w:rPr/>
      </w:pPr>
      <w:r>
        <w:rPr>
          <w:i/>
        </w:rPr>
        <w:t xml:space="preserve">How is the County protected </w:t>
      </w:r>
      <w:r>
        <w:rPr/>
        <w:t>against</w:t>
      </w:r>
      <w:r>
        <w:rPr>
          <w:i/>
        </w:rPr>
        <w:t xml:space="preserve"> any environmental/hazardous waste problems that may occur as a result of this Project?</w:t>
      </w:r>
    </w:p>
    <w:p>
      <w:pPr>
        <w:pStyle w:val="Normal"/>
        <w:jc w:val="both"/>
        <w:rPr/>
      </w:pPr>
      <w:r>
        <w:rPr/>
      </w:r>
    </w:p>
    <w:p>
      <w:pPr>
        <w:pStyle w:val="Normal"/>
        <w:ind w:start="720" w:end="0"/>
        <w:jc w:val="both"/>
        <w:rPr/>
      </w:pPr>
      <w:r>
        <w:rPr/>
        <w:t>The Developer and the Project are subject to comprehensive and stringent environmental laws, which will require the Developer to obtain permits, which contain requirements for frequent monitoring and reporting, and which subject facilities to routine investigations, and extensive federal, state and local regulations and requirements.  It is the Developer's intent to design, construct, and operate the Project in compliance with all such federal, state and local laws.  Operation of this facility, utilizing the same natural gas which already exists in residential, commercial and industrial facilities in the area, combined with elimination of any need for oil back-up, further eliminates such concerns.</w:t>
      </w:r>
    </w:p>
    <w:p>
      <w:pPr>
        <w:pStyle w:val="Normal"/>
        <w:jc w:val="both"/>
        <w:rPr/>
      </w:pPr>
      <w:r>
        <w:rPr/>
      </w:r>
    </w:p>
    <w:p>
      <w:pPr>
        <w:pStyle w:val="Normal"/>
        <w:jc w:val="both"/>
        <w:rPr/>
      </w:pPr>
      <w:r>
        <w:rPr/>
      </w:r>
      <w:r>
        <w:br w:type="page"/>
      </w:r>
    </w:p>
    <w:p>
      <w:pPr>
        <w:pStyle w:val="Normal"/>
        <w:ind w:start="720" w:end="0"/>
        <w:jc w:val="both"/>
        <w:rPr>
          <w:b/>
        </w:rPr>
      </w:pPr>
      <w:r>
        <w:rPr>
          <w:b/>
        </w:rPr>
        <w:t>ISSUES IDENTIFIED IN THE SEPTEMBER 14, 2000 LETTER,  FROM "RESIDENTS AND LAND OWNERS IN CLOSE PROXIMITY TO THE NEW PROPOSED ENRON ELECTRIC GENERATION PLANT."</w:t>
      </w:r>
    </w:p>
    <w:p>
      <w:pPr>
        <w:pStyle w:val="Normal"/>
        <w:jc w:val="both"/>
        <w:rPr/>
      </w:pPr>
      <w:r>
        <w:rPr/>
      </w:r>
    </w:p>
    <w:p>
      <w:pPr>
        <w:pStyle w:val="Normal"/>
        <w:keepNext w:val="true"/>
        <w:keepLines/>
        <w:tabs>
          <w:tab w:val="left" w:pos="720" w:leader="none"/>
        </w:tabs>
        <w:ind w:hanging="720" w:start="720" w:end="0"/>
        <w:jc w:val="both"/>
        <w:rPr>
          <w:i/>
          <w:i/>
        </w:rPr>
      </w:pPr>
      <w:r>
        <w:rPr>
          <w:i/>
        </w:rPr>
        <w:t>A.</w:t>
        <w:tab/>
        <w:t>Regarding drainage - since a portion of this site has always been a wet area with considerable ponding during times of moderate to heavy rainfall, we feel this is the time to address some of the concerns of local farmland owners.  As with any Project of this magnitude, drainage patterns can change.  We want to have time to be able to formulate a plan that would be compatible with surrounding landowners in the natural drainage area. In developing this plan, the input from the local landowners and local drainage contractors would be pertinent since they would have the most practical knowledge of the situation.</w:t>
      </w:r>
    </w:p>
    <w:p>
      <w:pPr>
        <w:pStyle w:val="Normal"/>
        <w:keepNext w:val="true"/>
        <w:keepLines/>
        <w:jc w:val="both"/>
        <w:rPr>
          <w:i/>
          <w:i/>
        </w:rPr>
      </w:pPr>
      <w:r>
        <w:rPr>
          <w:i/>
        </w:rPr>
      </w:r>
    </w:p>
    <w:p>
      <w:pPr>
        <w:pStyle w:val="Normal"/>
        <w:keepLines/>
        <w:tabs>
          <w:tab w:val="left" w:pos="720" w:leader="none"/>
        </w:tabs>
        <w:ind w:hanging="720" w:start="720" w:end="0"/>
        <w:jc w:val="both"/>
        <w:rPr/>
      </w:pPr>
      <w:r>
        <w:rPr/>
        <w:tab/>
        <w:t xml:space="preserve">The Developer has retained the services of Farnsworth &amp; Wylie Engineering Company, Inc. of Pontiac and Bloomington, Illinois to complete the preliminary project engineering and basic facility design of the Project.  We have submitted for approval as part of the Application a conceptual stormwater management plan (the "Stormwater Plan") designed to ensure no adverse impact from the development of the Project on surrounding properties.  The Stormwater Plan was designed to address both simple issues, such as developing the Project on the existing high and dry areas of the Property, as well as the more complex issues such as ensuring that grades, drain tile, and stormwater absorption rates.  The Stormwater Plan is designed to ensure no adverse impact thus satisfying any legal obligations.  Nevertheless, we understand and share the desires of our neighbors to address the existing stormwater problems in the surrounding area.  </w:t>
      </w:r>
      <w:r>
        <w:rPr>
          <w:b/>
        </w:rPr>
        <w:t>We also agree with the statement that time is needed to address this problem which the neighbors have been trying to address for many years.  With the recognition that the Project can not be put on hold during the necessary time frame, we have proposed a resolution that provides necessary improvements with the Project development and obligates the developer both financially and by restricting approval authority, to participate in the plan eventually adopted by the neighbors</w:t>
      </w:r>
      <w:r>
        <w:rPr/>
        <w:t>.</w:t>
      </w:r>
    </w:p>
    <w:p>
      <w:pPr>
        <w:pStyle w:val="Normal"/>
        <w:jc w:val="both"/>
        <w:rPr/>
      </w:pPr>
      <w:r>
        <w:rPr/>
      </w:r>
    </w:p>
    <w:p>
      <w:pPr>
        <w:pStyle w:val="Normal"/>
        <w:ind w:start="720" w:end="0"/>
        <w:jc w:val="both"/>
        <w:rPr/>
      </w:pPr>
      <w:r>
        <w:rPr>
          <w:b/>
        </w:rPr>
        <w:t>I.  Modified Stormwater Management Plan</w:t>
      </w:r>
      <w:r>
        <w:rPr/>
        <w:t>.  Based on meetings with our neighbors and further discussions with our engineers, we are submitting a modified Stormwater Plan.  It provides additional protections to our neighbors including swales along the southern and eastern boundaries of the site and modifies the stormwater management area to include the benefits of both detention and increased absorption rates.  It is important to recognize however, that, we do not anticipate that these changes will, nor is it reasonable to assume that any improvements to this Property could, eliminate the area's historical problem of ponding.</w:t>
      </w:r>
    </w:p>
    <w:p>
      <w:pPr>
        <w:pStyle w:val="Normal"/>
        <w:jc w:val="both"/>
        <w:rPr/>
      </w:pPr>
      <w:r>
        <w:rPr/>
      </w:r>
    </w:p>
    <w:p>
      <w:pPr>
        <w:pStyle w:val="Normal"/>
        <w:ind w:start="720" w:end="0"/>
        <w:jc w:val="both"/>
        <w:rPr/>
      </w:pPr>
      <w:r>
        <w:rPr>
          <w:b/>
        </w:rPr>
        <w:t>II. Stormwater Study</w:t>
      </w:r>
      <w:r>
        <w:rPr/>
        <w:t>.  The area wide problem cannot be properly addressed without a clear understanding of the problem and potential solutions.  The Developer has engaged Farnsworth &amp; Wylie to prepare an analysis of certain surrounding properties to determine the extent of the problems and propose potential solutions.  It is our understanding that certain of our neighbors have in the past attempted to put in improvements, such as additional drain tile or drainage swales, but were unable to obtain the agreement of all property owners to make such improvements on their properties.  We must be realistic and indicate that we do not know what the results of the Farnsworth &amp; Wylie study will be, nor whether all of the property owners who would need to participate in making any proposed modifications would agree to do so.  By way of example, it would not be beneficial, nor necessarily legal, for certain property owners including ourselves, to place either drainage swales or additional drain tile across our properties if other affected property owners did not participate.  However, it is the developers intention to participate and to work with our neighbors to obtain the agreement of all affected  property owners.</w:t>
      </w:r>
    </w:p>
    <w:p>
      <w:pPr>
        <w:pStyle w:val="Normal"/>
        <w:jc w:val="both"/>
        <w:rPr/>
      </w:pPr>
      <w:r>
        <w:rPr/>
      </w:r>
    </w:p>
    <w:p>
      <w:pPr>
        <w:pStyle w:val="Normal"/>
        <w:ind w:start="720" w:end="0"/>
        <w:jc w:val="both"/>
        <w:rPr/>
      </w:pPr>
      <w:r>
        <w:rPr>
          <w:b/>
        </w:rPr>
        <w:t>III.  Financial Commitment</w:t>
      </w:r>
      <w:r>
        <w:rPr/>
        <w:t>.  We recognize the desire to obligate the Project to participate in any long term solution.  At the same time we do not know the results of Farnsworth &amp; Wylie's study or if the neighbors will agree to participate.  First, we will eliminate the Developers ability to block any such plan by committing that we will accept the stormwater plan proposed by Farnsworth &amp; Wylie if approved and adopted by Eppards Point and Pontiac Townships.  Their participation will likely be required anyway as their roads would be impacted by any such plan.  Second, Farnsworth &amp; Wylie has confirmed that in the worse case scenario they anticipate that the cost of improvements on the Property as part of any such area-wide stormwater plan, would be a maximum of $55,000 and likely significantly less.   The Developer, as a condition to the Special Use, will provide on or before issuance of a Certificate of Occupancy, a Corporate Guaranty of up to $55,000 for improvements on the Property to be made at such time as similar improvements are being made on the required nearby properties pursuant to the approved plan based on the Farnsworth &amp; Wylie plan approved by the two townships.  This will ensure that the Developer's willingness to participate in such improvements is secured while at the same time not delaying the Project in a manner which might necessitate it's abandonment and thus eliminate this critical opportunity to address this problem.</w:t>
      </w:r>
    </w:p>
    <w:p>
      <w:pPr>
        <w:pStyle w:val="Normal"/>
        <w:jc w:val="both"/>
        <w:rPr/>
      </w:pPr>
      <w:r>
        <w:rPr/>
      </w:r>
    </w:p>
    <w:p>
      <w:pPr>
        <w:pStyle w:val="Normal"/>
        <w:tabs>
          <w:tab w:val="left" w:pos="720" w:leader="none"/>
        </w:tabs>
        <w:ind w:hanging="720" w:start="720" w:end="0"/>
        <w:jc w:val="both"/>
        <w:rPr>
          <w:i/>
          <w:i/>
        </w:rPr>
      </w:pPr>
      <w:r>
        <w:rPr>
          <w:i/>
        </w:rPr>
        <w:t>B.</w:t>
        <w:tab/>
        <w:t>Regarding wells and water in the area - after listening to presentations from Enron, we understand that their water requirements will be met with deep wells (1000-1200' down).  From information told to us, we understand that the aquifer that they tap into will have no effect on our local wells.  This being the case, we ask that Enron guarantees that by agreeing to correct any well problems in the surrounding area.</w:t>
      </w:r>
    </w:p>
    <w:p>
      <w:pPr>
        <w:pStyle w:val="Normal"/>
        <w:jc w:val="both"/>
        <w:rPr/>
      </w:pPr>
      <w:r>
        <w:rPr/>
      </w:r>
    </w:p>
    <w:p>
      <w:pPr>
        <w:pStyle w:val="Normal"/>
        <w:ind w:start="720" w:end="0"/>
        <w:jc w:val="both"/>
        <w:rPr/>
      </w:pPr>
      <w:r>
        <w:rPr/>
        <w:t>The Developer has a strong commitment to ensuring that the Project provides significant benefit to the community without material adverse impact.  As a result, the Developer has engaged one of the nation's leading environmental engineering companies, ENSR Environmental Consulting Engineering Remediation, to review issues such as well usage.  As indicated by the question, based on a preliminary review of existing data and information, ENSR has determined that aquifers which are utilized by residential and agricultural wells in the vicinity are not suitable for the Project.  At the same time, the City of Pontiac obtains its water from the Vermillion River and therefore, does not utilize either the shallow or deep aquifers.  As a result, and subject to further analysis, it is anticipated that any wells to the Project will utilize either the Siluran aquifer formations located under the Misssissippian and Pennsylvanian base rock formations or the Midwest Bedrock Group which is separated by approximately 158+ foot ordovician maquoketa formation which acts as a regional confining unit.  The Midwest Bedrock Aqua Group is a hydrological unit consisting of the Galena-Platteville, the Ancell Aquifer (Glenwood &amp; St. Peter Sandstones), the middle confining unit and the Ironton-Galesville aquifer.  The easiest potential sources of water are separate from an not utilized by surrounding agricultural and residential wells.  Therefore, the Developer anticipates no adverse impacts on those surrounding residential and agricultural wells.</w:t>
      </w:r>
    </w:p>
    <w:p>
      <w:pPr>
        <w:pStyle w:val="Normal"/>
        <w:jc w:val="both"/>
        <w:rPr/>
      </w:pPr>
      <w:r>
        <w:rPr/>
      </w:r>
    </w:p>
    <w:p>
      <w:pPr>
        <w:pStyle w:val="Normal"/>
        <w:ind w:start="720" w:end="0"/>
        <w:jc w:val="both"/>
        <w:rPr/>
      </w:pPr>
      <w:r>
        <w:rPr/>
        <w:t>Nevertheless, we understand the desire by our neighbors to have appropriate monitoring of the wells for the Project.  If agreed to in writing by such property owners, the Developer shall have installed at most 4 monitoring wells on at most 4 properties within one and a half miles surrounding the property.  One monitoring well each would be installed on a property generally to the north, south, east and west.  Titan shall inspect the water levels on each of the monitoring wells on a quarterly basis and shall make such monitoring information available to the County Engineer at its request for five (5) years following issuance of the final Certificate of Occupancy.  If no adverse impact due to the operation of the Facility is found during the first five (5) year monitoring period, then Titan shall monitor well levels for each of the properties two (2) times per year including at least one in summer time inspection and shall make such monitoring information available to the County Engineer upon its request for the life of the Facility.</w:t>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45085" cy="254635"/>
              <wp:effectExtent l="0" t="0" r="0" b="0"/>
              <wp:wrapSquare wrapText="bothSides"/>
              <wp:docPr id="1" name="Frame1"/>
              <a:graphic xmlns:a="http://schemas.openxmlformats.org/drawingml/2006/main">
                <a:graphicData uri="http://schemas.microsoft.com/office/word/2010/wordprocessingShape">
                  <wps:wsp>
                    <wps:cNvSpPr txBox="1"/>
                    <wps:spPr>
                      <a:xfrm>
                        <a:off x="0" y="0"/>
                        <a:ext cx="45085" cy="254635"/>
                      </a:xfrm>
                      <a:prstGeom prst="rect"/>
                      <a:solidFill>
                        <a:srgbClr val="FFFFFF">
                          <a:alpha val="0"/>
                        </a:srgbClr>
                      </a:solidFill>
                    </wps:spPr>
                    <wps:txbx>
                      <w:txbxContent>
                        <w:p>
                          <w:pPr>
                            <w:pStyle w:val="Footer"/>
                            <w:spacing w:before="240" w:after="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55pt;height:20.05pt;mso-wrap-distance-left:0pt;mso-wrap-distance-right:0pt;mso-wrap-distance-top:0pt;mso-wrap-distance-bottom:0pt;margin-top:0.05pt;mso-position-vertical-relative:text;margin-left:232.25pt;mso-position-horizontal:center;mso-position-horizontal-relative:margin">
              <v:fill opacity="0f"/>
              <v:textbox inset="0in,0in,0in,0in">
                <w:txbxContent>
                  <w:p>
                    <w:pPr>
                      <w:pStyle w:val="Footer"/>
                      <w:spacing w:before="240" w:after="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i/>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i/>
    </w:rPr>
  </w:style>
  <w:style w:type="character" w:styleId="WW8Num6z0">
    <w:name w:val="WW8Num6z0"/>
    <w:qFormat/>
    <w:rPr>
      <w:i/>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240" w:after="0"/>
    </w:pPr>
    <w:rPr>
      <w:sz w:val="14"/>
    </w:rPr>
  </w:style>
  <w:style w:type="paragraph" w:styleId="BodyTextIndent">
    <w:name w:val="Body Text Indent"/>
    <w:basedOn w:val="Normal"/>
    <w:pPr>
      <w:ind w:hanging="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2000-09-25T18:08:00Z</dcterms:created>
  <dc:creator>Information Systems</dc:creator>
  <dc:description/>
  <dc:language>en-CA</dc:language>
  <cp:lastModifiedBy>Information Systems</cp:lastModifiedBy>
  <dcterms:modified xsi:type="dcterms:W3CDTF">2000-09-25T18:16:00Z</dcterms:modified>
  <cp:revision>3</cp:revision>
  <dc:subject/>
  <dc:title>LIVINGSTON ENERGY CENTER</dc:title>
</cp:coreProperties>
</file>