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t>January 4, 2002</w:t>
      </w:r>
    </w:p>
    <w:p>
      <w:pPr>
        <w:pStyle w:val="Normal"/>
        <w:rPr>
          <w:sz w:val="22"/>
        </w:rPr>
      </w:pPr>
      <w:r>
        <w:rPr>
          <w:sz w:val="22"/>
        </w:rPr>
      </w:r>
    </w:p>
    <w:p>
      <w:pPr>
        <w:pStyle w:val="Normal"/>
        <w:rPr>
          <w:sz w:val="22"/>
        </w:rPr>
      </w:pPr>
      <w:r>
        <w:rPr>
          <w:sz w:val="22"/>
        </w:rPr>
        <w:t>Power Pool of Alberta</w:t>
      </w:r>
    </w:p>
    <w:p>
      <w:pPr>
        <w:pStyle w:val="Normal"/>
        <w:rPr/>
      </w:pPr>
      <w:r>
        <w:rPr>
          <w:sz w:val="22"/>
        </w:rPr>
        <w:t>1800, 700 – 4</w:t>
      </w:r>
      <w:r>
        <w:rPr>
          <w:sz w:val="22"/>
          <w:vertAlign w:val="superscript"/>
        </w:rPr>
        <w:t>th</w:t>
      </w:r>
      <w:r>
        <w:rPr>
          <w:sz w:val="22"/>
        </w:rPr>
        <w:t xml:space="preserve"> Avenue SW</w:t>
      </w:r>
    </w:p>
    <w:p>
      <w:pPr>
        <w:pStyle w:val="Normal"/>
        <w:rPr>
          <w:sz w:val="22"/>
        </w:rPr>
      </w:pPr>
      <w:r>
        <w:rPr>
          <w:sz w:val="22"/>
        </w:rPr>
        <w:t>Calgary, AB</w:t>
      </w:r>
    </w:p>
    <w:p>
      <w:pPr>
        <w:pStyle w:val="Normal"/>
        <w:rPr>
          <w:sz w:val="22"/>
        </w:rPr>
      </w:pPr>
      <w:r>
        <w:rPr>
          <w:sz w:val="22"/>
        </w:rPr>
        <w:t>T2P 3J4</w:t>
      </w:r>
    </w:p>
    <w:p>
      <w:pPr>
        <w:pStyle w:val="Normal"/>
        <w:rPr>
          <w:sz w:val="22"/>
        </w:rPr>
      </w:pPr>
      <w:r>
        <w:rPr>
          <w:sz w:val="22"/>
        </w:rPr>
      </w:r>
    </w:p>
    <w:p>
      <w:pPr>
        <w:pStyle w:val="Heading1"/>
        <w:ind w:hanging="0" w:start="0"/>
        <w:rPr>
          <w:sz w:val="22"/>
        </w:rPr>
      </w:pPr>
      <w:r>
        <w:rPr>
          <w:sz w:val="22"/>
        </w:rPr>
        <w:t>Attention:  Ken Christensen</w:t>
      </w:r>
    </w:p>
    <w:p>
      <w:pPr>
        <w:pStyle w:val="Normal"/>
        <w:rPr>
          <w:sz w:val="22"/>
        </w:rPr>
      </w:pPr>
      <w:r>
        <w:rPr>
          <w:sz w:val="22"/>
        </w:rPr>
      </w:r>
    </w:p>
    <w:p>
      <w:pPr>
        <w:pStyle w:val="Normal"/>
        <w:rPr>
          <w:sz w:val="22"/>
        </w:rPr>
      </w:pPr>
      <w:r>
        <w:rPr>
          <w:sz w:val="22"/>
        </w:rPr>
        <w:t>Dear Sir:</w:t>
      </w:r>
    </w:p>
    <w:p>
      <w:pPr>
        <w:pStyle w:val="Normal"/>
        <w:rPr>
          <w:sz w:val="22"/>
        </w:rPr>
      </w:pPr>
      <w:r>
        <w:rPr>
          <w:sz w:val="22"/>
        </w:rPr>
      </w:r>
    </w:p>
    <w:p>
      <w:pPr>
        <w:pStyle w:val="Heading2"/>
        <w:ind w:hanging="0" w:start="0"/>
        <w:rPr>
          <w:sz w:val="22"/>
        </w:rPr>
      </w:pPr>
      <w:r>
        <w:rPr>
          <w:sz w:val="22"/>
        </w:rPr>
        <w:t>Re:  Reassignment of Direct Sales Contracts with Enron</w:t>
      </w:r>
    </w:p>
    <w:p>
      <w:pPr>
        <w:pStyle w:val="Normal"/>
        <w:rPr>
          <w:sz w:val="22"/>
        </w:rPr>
      </w:pPr>
      <w:r>
        <w:rPr>
          <w:sz w:val="22"/>
        </w:rPr>
      </w:r>
    </w:p>
    <w:p>
      <w:pPr>
        <w:pStyle w:val="BodyText"/>
        <w:rPr/>
      </w:pPr>
      <w:r>
        <w:rPr/>
        <w:t>Please be advised that we acknowledge the modification of the direct sales contracts registered between our company and Enron Canada Power Corporation with the Power Pool of Alberta.  The following contract was initially registered and acknowledged with Enron’s Sundance 3 unit as the source asset and our metered asset as the sink asset.  As the ownership of Sundance 3 has changed since the registration of the direct sales contract, all of the following contracts will be reassigned to Enron’s unmetered source asset of ECP- effective December 29 HE 1.</w:t>
      </w:r>
    </w:p>
    <w:p>
      <w:pPr>
        <w:pStyle w:val="Normal"/>
        <w:jc w:val="both"/>
        <w:rPr>
          <w:sz w:val="22"/>
        </w:rPr>
      </w:pPr>
      <w:r>
        <w:rPr>
          <w:sz w:val="22"/>
        </w:rPr>
      </w:r>
    </w:p>
    <w:p>
      <w:pPr>
        <w:pStyle w:val="Normal"/>
        <w:tabs>
          <w:tab w:val="clear" w:pos="720"/>
          <w:tab w:val="left" w:pos="1980" w:leader="none"/>
        </w:tabs>
        <w:jc w:val="both"/>
        <w:rPr>
          <w:sz w:val="22"/>
        </w:rPr>
      </w:pPr>
      <w:r>
        <w:rPr>
          <w:sz w:val="22"/>
        </w:rPr>
        <w:t>Contract Number:</w:t>
        <w:tab/>
        <w:t>1947</w:t>
      </w:r>
    </w:p>
    <w:p>
      <w:pPr>
        <w:pStyle w:val="Normal"/>
        <w:tabs>
          <w:tab w:val="clear" w:pos="720"/>
          <w:tab w:val="left" w:pos="1980" w:leader="none"/>
        </w:tabs>
        <w:jc w:val="both"/>
        <w:rPr>
          <w:sz w:val="22"/>
        </w:rPr>
      </w:pPr>
      <w:r>
        <w:rPr>
          <w:sz w:val="22"/>
        </w:rPr>
        <w:t>Period:</w:t>
        <w:tab/>
        <w:t>January 1, 2002 HE 1 to Dec 31, 2002 HE 24</w:t>
      </w:r>
    </w:p>
    <w:p>
      <w:pPr>
        <w:pStyle w:val="Normal"/>
        <w:tabs>
          <w:tab w:val="clear" w:pos="720"/>
          <w:tab w:val="left" w:pos="1980" w:leader="none"/>
        </w:tabs>
        <w:jc w:val="both"/>
        <w:rPr>
          <w:sz w:val="22"/>
        </w:rPr>
      </w:pPr>
      <w:r>
        <w:rPr>
          <w:sz w:val="22"/>
        </w:rPr>
        <w:t>Source Asset:</w:t>
        <w:tab/>
        <w:t>ECP-</w:t>
      </w:r>
    </w:p>
    <w:p>
      <w:pPr>
        <w:pStyle w:val="Normal"/>
        <w:tabs>
          <w:tab w:val="clear" w:pos="720"/>
          <w:tab w:val="left" w:pos="1980" w:leader="none"/>
        </w:tabs>
        <w:jc w:val="both"/>
        <w:rPr>
          <w:sz w:val="22"/>
        </w:rPr>
      </w:pPr>
      <w:r>
        <w:rPr>
          <w:sz w:val="22"/>
        </w:rPr>
        <w:t>Sink Asset:</w:t>
        <w:tab/>
        <w:t>CH1A</w:t>
      </w:r>
    </w:p>
    <w:p>
      <w:pPr>
        <w:pStyle w:val="Normal"/>
        <w:tabs>
          <w:tab w:val="clear" w:pos="720"/>
          <w:tab w:val="left" w:pos="1980" w:leader="none"/>
        </w:tabs>
        <w:jc w:val="both"/>
        <w:rPr/>
      </w:pPr>
      <w:r>
        <w:rPr>
          <w:sz w:val="22"/>
        </w:rPr>
        <w:t>Contract Name:</w:t>
        <w:tab/>
      </w:r>
      <w:r>
        <w:rPr>
          <w:color w:val="000000"/>
          <w:sz w:val="22"/>
          <w:lang w:eastAsia="en-US"/>
        </w:rPr>
        <w:t>ECPC-Chevron Cal02</w:t>
      </w:r>
    </w:p>
    <w:p>
      <w:pPr>
        <w:pStyle w:val="Normal"/>
        <w:tabs>
          <w:tab w:val="clear" w:pos="720"/>
          <w:tab w:val="left" w:pos="1980" w:leader="none"/>
        </w:tabs>
        <w:jc w:val="both"/>
        <w:rPr>
          <w:color w:val="000000"/>
          <w:sz w:val="22"/>
          <w:lang w:eastAsia="en-US"/>
        </w:rPr>
      </w:pPr>
      <w:r>
        <w:rPr>
          <w:color w:val="000000"/>
          <w:sz w:val="22"/>
          <w:lang w:eastAsia="en-US"/>
        </w:rPr>
      </w:r>
    </w:p>
    <w:p>
      <w:pPr>
        <w:pStyle w:val="Normal"/>
        <w:tabs>
          <w:tab w:val="clear" w:pos="720"/>
          <w:tab w:val="left" w:pos="1980" w:leader="none"/>
        </w:tabs>
        <w:jc w:val="both"/>
        <w:rPr>
          <w:color w:val="000000"/>
          <w:sz w:val="22"/>
          <w:lang w:eastAsia="en-US"/>
        </w:rPr>
      </w:pPr>
      <w:r>
        <w:rPr>
          <w:color w:val="000000"/>
          <w:sz w:val="22"/>
          <w:lang w:eastAsia="en-US"/>
        </w:rPr>
      </w:r>
    </w:p>
    <w:p>
      <w:pPr>
        <w:pStyle w:val="Normal"/>
        <w:tabs>
          <w:tab w:val="clear" w:pos="720"/>
          <w:tab w:val="left" w:pos="1980" w:leader="none"/>
        </w:tabs>
        <w:jc w:val="both"/>
        <w:rPr>
          <w:color w:val="000000"/>
          <w:sz w:val="22"/>
          <w:lang w:eastAsia="en-US"/>
        </w:rPr>
      </w:pPr>
      <w:r>
        <w:rPr>
          <w:color w:val="000000"/>
          <w:sz w:val="22"/>
          <w:lang w:eastAsia="en-US"/>
        </w:rPr>
      </w:r>
    </w:p>
    <w:p>
      <w:pPr>
        <w:pStyle w:val="Normal"/>
        <w:tabs>
          <w:tab w:val="clear" w:pos="720"/>
          <w:tab w:val="left" w:pos="1980" w:leader="none"/>
        </w:tabs>
        <w:jc w:val="both"/>
        <w:rPr>
          <w:color w:val="000000"/>
          <w:sz w:val="22"/>
          <w:lang w:eastAsia="en-US"/>
        </w:rPr>
      </w:pPr>
      <w:r>
        <w:rPr>
          <w:color w:val="000000"/>
          <w:sz w:val="22"/>
          <w:lang w:eastAsia="en-US"/>
        </w:rPr>
        <w:t>Signed by:</w:t>
      </w:r>
    </w:p>
    <w:p>
      <w:pPr>
        <w:pStyle w:val="Normal"/>
        <w:tabs>
          <w:tab w:val="clear" w:pos="720"/>
          <w:tab w:val="left" w:pos="1980" w:leader="none"/>
        </w:tabs>
        <w:jc w:val="both"/>
        <w:rPr>
          <w:color w:val="000000"/>
          <w:sz w:val="22"/>
          <w:lang w:eastAsia="en-US"/>
        </w:rPr>
      </w:pPr>
      <w:r>
        <w:rPr>
          <w:color w:val="000000"/>
          <w:sz w:val="22"/>
          <w:lang w:eastAsia="en-US"/>
        </w:rPr>
      </w:r>
    </w:p>
    <w:p>
      <w:pPr>
        <w:pStyle w:val="Normal"/>
        <w:tabs>
          <w:tab w:val="clear" w:pos="720"/>
          <w:tab w:val="left" w:pos="1980" w:leader="none"/>
        </w:tabs>
        <w:jc w:val="both"/>
        <w:rPr>
          <w:color w:val="000000"/>
          <w:sz w:val="22"/>
          <w:lang w:eastAsia="en-US"/>
        </w:rPr>
      </w:pPr>
      <w:r>
        <w:rPr>
          <w:color w:val="000000"/>
          <w:sz w:val="22"/>
          <w:lang w:eastAsia="en-US"/>
        </w:rPr>
      </w:r>
    </w:p>
    <w:p>
      <w:pPr>
        <w:pStyle w:val="Normal"/>
        <w:tabs>
          <w:tab w:val="clear" w:pos="720"/>
          <w:tab w:val="left" w:pos="1980" w:leader="none"/>
        </w:tabs>
        <w:jc w:val="both"/>
        <w:rPr>
          <w:color w:val="000000"/>
          <w:sz w:val="22"/>
          <w:lang w:eastAsia="en-US"/>
        </w:rPr>
      </w:pPr>
      <w:r>
        <w:rPr>
          <w:color w:val="000000"/>
          <w:sz w:val="22"/>
          <w:lang w:eastAsia="en-US"/>
        </w:rPr>
        <w:t>Print Name:</w:t>
      </w:r>
    </w:p>
    <w:p>
      <w:pPr>
        <w:pStyle w:val="Normal"/>
        <w:tabs>
          <w:tab w:val="clear" w:pos="720"/>
          <w:tab w:val="left" w:pos="1980" w:leader="none"/>
        </w:tabs>
        <w:jc w:val="both"/>
        <w:rPr>
          <w:color w:val="000000"/>
          <w:sz w:val="22"/>
          <w:lang w:eastAsia="en-US"/>
        </w:rPr>
      </w:pPr>
      <w:r>
        <w:rPr>
          <w:color w:val="000000"/>
          <w:sz w:val="22"/>
          <w:lang w:eastAsia="en-US"/>
        </w:rPr>
      </w:r>
    </w:p>
    <w:p>
      <w:pPr>
        <w:pStyle w:val="Normal"/>
        <w:tabs>
          <w:tab w:val="clear" w:pos="720"/>
          <w:tab w:val="left" w:pos="1980" w:leader="none"/>
        </w:tabs>
        <w:jc w:val="both"/>
        <w:rPr>
          <w:color w:val="000000"/>
          <w:sz w:val="22"/>
          <w:lang w:eastAsia="en-US"/>
        </w:rPr>
      </w:pPr>
      <w:r>
        <w:rPr>
          <w:color w:val="000000"/>
          <w:sz w:val="22"/>
          <w:lang w:eastAsia="en-US"/>
        </w:rPr>
      </w:r>
    </w:p>
    <w:p>
      <w:pPr>
        <w:pStyle w:val="Normal"/>
        <w:tabs>
          <w:tab w:val="clear" w:pos="720"/>
          <w:tab w:val="left" w:pos="1980" w:leader="none"/>
        </w:tabs>
        <w:jc w:val="both"/>
        <w:rPr>
          <w:color w:val="000000"/>
          <w:sz w:val="22"/>
          <w:lang w:eastAsia="en-US"/>
        </w:rPr>
      </w:pPr>
      <w:r>
        <w:rPr>
          <w:color w:val="000000"/>
          <w:sz w:val="22"/>
          <w:lang w:eastAsia="en-US"/>
        </w:rPr>
        <w:t>Company:</w:t>
      </w:r>
    </w:p>
    <w:p>
      <w:pPr>
        <w:pStyle w:val="Normal"/>
        <w:tabs>
          <w:tab w:val="clear" w:pos="720"/>
          <w:tab w:val="left" w:pos="1980" w:leader="none"/>
        </w:tabs>
        <w:jc w:val="both"/>
        <w:rPr>
          <w:color w:val="000000"/>
          <w:sz w:val="22"/>
          <w:lang w:eastAsia="en-US"/>
        </w:rPr>
      </w:pPr>
      <w:r>
        <w:rPr>
          <w:color w:val="000000"/>
          <w:sz w:val="22"/>
          <w:lang w:eastAsia="en-US"/>
        </w:rPr>
      </w:r>
    </w:p>
    <w:p>
      <w:pPr>
        <w:pStyle w:val="Normal"/>
        <w:rPr>
          <w:sz w:val="22"/>
        </w:rPr>
      </w:pPr>
      <w:r>
        <w:rPr>
          <w:sz w:val="22"/>
        </w:rPr>
      </w:r>
    </w:p>
    <w:p>
      <w:pPr>
        <w:pStyle w:val="Normal"/>
        <w:rPr>
          <w:sz w:val="22"/>
        </w:rPr>
      </w:pPr>
      <w:r>
        <w:rPr>
          <w:sz w:val="22"/>
        </w:rPr>
      </w:r>
    </w:p>
    <w:p>
      <w:pPr>
        <w:pStyle w:val="BodyTextIndent"/>
        <w:rPr/>
      </w:pPr>
      <w:r>
        <w:rPr/>
        <w:t xml:space="preserve">Note:  </w:t>
        <w:tab/>
        <w:t xml:space="preserve">If this signed acknowledgement is not received by the Power Pool of Alberta by 12:00 p.m. on Friday, January 4, 2002 this contract will be deregistered for net settlement instructions with the Power Pool.  The fax number for the Power Pool is (403) 263-9349.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i/>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jc w:val="both"/>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2002-01-03T20:57:00Z</dcterms:created>
  <dc:creator>Carol Moline</dc:creator>
  <dc:description/>
  <dc:language>en-CA</dc:language>
  <cp:lastModifiedBy>Carol Moline</cp:lastModifiedBy>
  <cp:lastPrinted>2002-01-03T16:47:00Z</cp:lastPrinted>
  <dcterms:modified xsi:type="dcterms:W3CDTF">2002-01-03T21:35:00Z</dcterms:modified>
  <cp:revision>1</cp:revision>
  <dc:subject/>
  <dc:title>January 4, 2002</dc:title>
</cp:coreProperties>
</file>