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Enron Legal Department</w:t>
      </w:r>
    </w:p>
    <w:p>
      <w:pPr>
        <w:pStyle w:val="Normal"/>
        <w:jc w:val="center"/>
        <w:rPr/>
      </w:pPr>
      <w:r>
        <w:rPr/>
        <w:t>General Counsel Meeting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Discussion Topics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California: The Contractual Issues; The Litigation; The Law Firms; The Lessons Learned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Leaders: Mark Haedicke; Vicki Sharp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India:  The Issues; The Arbitrations; The Law Firms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Rob Walls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Europe: The Opportunities; The Challenges; The Law Firms; The Lessons Learned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Mark Evans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South America: The Opportunities; The Challenges; The Law Firms; The Lessons Learned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John Novak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Enron Broadband: The Opportunities; The Challenges; The Law Firms; The Lessons Learned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Kristina Mordaunt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Enron Transportation Services: The Opportunities; The Challenges; The Law Firms; The Lessons Learned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Drew Fossum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Enron Wholesale: The Opportunities; The Challenges; The Law Firms; The Lessons Learned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Mark Haedicke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Enron Retail: The Opportunities; The Challenges; The Law Firms; The Lessons Learned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Vicki Sharp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The New Building: Status Report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Elizabeth Labanowski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The Enron Legal Department Conference: Potential Future Sites; Invitees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Discussion Leader: Elizabeth Labanowski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Outside Counsel: Comments re Firms We Use; Suggestions re Additional Firms We Should Use; Billing Rates and Other Law Firm Compensation Issues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Rob Walls With Input From All GCs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Hiring Needs; Recruiting; Summer Clerks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Discussion Leader:  Jim Derrick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General Discussion:  What are our greatest challenges? What differentiates our legal department in the marketplace?</w:t>
      </w:r>
    </w:p>
    <w:p>
      <w:pPr>
        <w:pStyle w:val="Normal"/>
        <w:ind w:start="360" w:end="0"/>
        <w:rPr/>
      </w:pPr>
      <w:r>
        <w:rPr/>
        <w:t>What should we be doing that we are not?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ab/>
        <w:t>Discussion Leader:  Jim Derrick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Open Floor: Discussion re any topic a GC wants to introduce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2001-04-25T13:42:00Z</dcterms:created>
  <dc:creator>jderric</dc:creator>
  <dc:description/>
  <dc:language>en-CA</dc:language>
  <cp:lastModifiedBy>jderric</cp:lastModifiedBy>
  <dcterms:modified xsi:type="dcterms:W3CDTF">2001-04-26T17:16:00Z</dcterms:modified>
  <cp:revision>2</cp:revision>
  <dc:subject/>
  <dc:title>Enron Legal Department</dc:title>
</cp:coreProperties>
</file>