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 xml:space="preserve">LETTER OF INTENT </w:t>
      </w:r>
    </w:p>
    <w:p>
      <w:pPr>
        <w:pStyle w:val="Normal"/>
        <w:jc w:val="center"/>
        <w:rPr>
          <w:b/>
        </w:rPr>
      </w:pPr>
      <w:r>
        <w:rPr>
          <w:b/>
        </w:rPr>
      </w:r>
    </w:p>
    <w:p>
      <w:pPr>
        <w:pStyle w:val="Heading1"/>
        <w:ind w:hanging="0" w:start="0"/>
        <w:rPr/>
      </w:pPr>
      <w:r>
        <w:rPr/>
        <w:t>between</w:t>
      </w:r>
    </w:p>
    <w:p>
      <w:pPr>
        <w:pStyle w:val="Heading1"/>
        <w:ind w:hanging="0" w:start="0"/>
        <w:rPr/>
      </w:pPr>
      <w:r>
        <w:rPr/>
        <w:t xml:space="preserve"> </w:t>
      </w:r>
    </w:p>
    <w:p>
      <w:pPr>
        <w:pStyle w:val="Normal"/>
        <w:jc w:val="center"/>
        <w:rPr>
          <w:b/>
          <w:sz w:val="24"/>
        </w:rPr>
      </w:pPr>
      <w:r>
        <w:rPr>
          <w:b/>
          <w:sz w:val="24"/>
        </w:rPr>
        <w:t xml:space="preserve">Enron North America Corp. </w:t>
      </w:r>
    </w:p>
    <w:p>
      <w:pPr>
        <w:pStyle w:val="Normal"/>
        <w:jc w:val="center"/>
        <w:rPr>
          <w:b/>
          <w:sz w:val="24"/>
        </w:rPr>
      </w:pPr>
      <w:r>
        <w:rPr>
          <w:b/>
          <w:sz w:val="24"/>
        </w:rPr>
        <w:t>and</w:t>
      </w:r>
    </w:p>
    <w:p>
      <w:pPr>
        <w:pStyle w:val="Normal"/>
        <w:jc w:val="center"/>
        <w:rPr>
          <w:b/>
          <w:sz w:val="24"/>
        </w:rPr>
      </w:pPr>
      <w:r>
        <w:rPr>
          <w:b/>
          <w:sz w:val="24"/>
        </w:rPr>
        <w:t>Panda Leesburg Power Partners, L.P.</w:t>
      </w:r>
    </w:p>
    <w:p>
      <w:pPr>
        <w:pStyle w:val="Normal"/>
        <w:jc w:val="center"/>
        <w:rPr>
          <w:b/>
          <w:sz w:val="24"/>
        </w:rPr>
      </w:pPr>
      <w:r>
        <w:rPr>
          <w:b/>
          <w:sz w:val="24"/>
        </w:rPr>
      </w:r>
    </w:p>
    <w:p>
      <w:pPr>
        <w:pStyle w:val="BodyText"/>
        <w:rPr>
          <w:sz w:val="24"/>
        </w:rPr>
      </w:pPr>
      <w:r>
        <w:rPr>
          <w:sz w:val="24"/>
        </w:rPr>
        <w:t>This Letter of Intent (“LOI”) dated effective as of [effective date], is executed by and between Enron North American Corp. (“Enron”), whose mailing address is ________________________  and Panda Leesburg Power Partners, L.P. (“Panda”), whose mailing address is 4100 Spring Valley, Suite 1001, Dallas, TX  75244.  This LOI sets forth the understanding between the Parties (as hereinafter defined) for the negotiation of an agreement for the supply of natural gas (“Gas Supply Agreement”). [CP] and Panda are herein referred to collectively as “Parties” and individually as “Party.”</w:t>
      </w:r>
    </w:p>
    <w:p>
      <w:pPr>
        <w:pStyle w:val="BodyText"/>
        <w:rPr>
          <w:sz w:val="24"/>
        </w:rPr>
      </w:pPr>
      <w:r>
        <w:rPr>
          <w:sz w:val="24"/>
        </w:rPr>
        <w:t xml:space="preserve"> </w:t>
      </w:r>
    </w:p>
    <w:p>
      <w:pPr>
        <w:pStyle w:val="BodyText"/>
        <w:rPr>
          <w:sz w:val="24"/>
        </w:rPr>
      </w:pPr>
      <w:r>
        <w:rPr>
          <w:sz w:val="24"/>
        </w:rPr>
        <w:t>1.  The Parties hereby agree to cooperate until September 30, 2001, in good faith, to negotiate and attempt to finalize a definitive Gas Supply Agreement.  Panda has set forth its proposal for gas supply on the term sheet attached as Exhibit “A.”  Such terms are for use in negotiations only and neither party shall be bound to such terms unless and until execution and delivery of a final definitive Gas Supply Agreement.</w:t>
      </w:r>
    </w:p>
    <w:p>
      <w:pPr>
        <w:pStyle w:val="BodyText"/>
        <w:rPr>
          <w:sz w:val="24"/>
        </w:rPr>
      </w:pPr>
      <w:r>
        <w:rPr>
          <w:sz w:val="24"/>
        </w:rPr>
      </w:r>
    </w:p>
    <w:p>
      <w:pPr>
        <w:pStyle w:val="Heading"/>
        <w:jc w:val="both"/>
        <w:rPr>
          <w:b w:val="false"/>
        </w:rPr>
      </w:pPr>
      <w:r>
        <w:rPr>
          <w:b w:val="false"/>
        </w:rPr>
        <w:t xml:space="preserve">2.  The Parties shall cooperate in the exchange of information reasonably required to be exchanged for the negotiation and execution of the Gas Supply Agreement.  It is hereby agreed that all such information shall be maintained in confidence by the receiving party. </w:t>
      </w:r>
    </w:p>
    <w:p>
      <w:pPr>
        <w:pStyle w:val="Normal"/>
        <w:jc w:val="both"/>
        <w:rPr>
          <w:b/>
          <w:sz w:val="24"/>
        </w:rPr>
      </w:pPr>
      <w:r>
        <w:rPr>
          <w:b/>
          <w:sz w:val="24"/>
        </w:rPr>
      </w:r>
    </w:p>
    <w:p>
      <w:pPr>
        <w:pStyle w:val="Normal"/>
        <w:jc w:val="both"/>
        <w:rPr>
          <w:sz w:val="24"/>
        </w:rPr>
      </w:pPr>
      <w:r>
        <w:rPr>
          <w:sz w:val="24"/>
        </w:rPr>
        <w:t>3.  This LOI will be effective from the execution hereof until the earlier of (i) the execution of an Gas Supply Agreement that supersedes and replaces this LOI; or (ii) September 30, 2001.  In the event the Gas Supply Agreement is not executed by the Parties on or before September 30, 2001, this LOI shall terminate, and neither Party shall have any obligation to the other hereunder.</w:t>
      </w:r>
    </w:p>
    <w:p>
      <w:pPr>
        <w:pStyle w:val="Normal"/>
        <w:jc w:val="both"/>
        <w:rPr>
          <w:sz w:val="24"/>
        </w:rPr>
      </w:pPr>
      <w:r>
        <w:rPr>
          <w:sz w:val="24"/>
        </w:rPr>
        <w:t xml:space="preserve"> </w:t>
      </w:r>
    </w:p>
    <w:p>
      <w:pPr>
        <w:pStyle w:val="BodyText"/>
        <w:rPr>
          <w:sz w:val="24"/>
        </w:rPr>
      </w:pPr>
      <w:r>
        <w:rPr>
          <w:sz w:val="24"/>
        </w:rPr>
        <w:t>4.</w:t>
        <w:tab/>
        <w:t>No action, course of conduct or failure to act by Enron or Panda, prior to the execution of a definitive Gas Supply Agreement, will give rise to or serve as a basis for any obligation or other liability on the part of Enron or Panda. Any commitment or agreement is subject to satisfactory negotiation and execution by September 30, 2001 of a mutually acceptable definitive agreement, and the approval of Enron’s management and Panda’s management, and financial closing (with funding) of Panda’s Leesburg power plant project.</w:t>
      </w:r>
    </w:p>
    <w:p>
      <w:pPr>
        <w:pStyle w:val="Normal"/>
        <w:jc w:val="both"/>
        <w:rPr>
          <w:sz w:val="24"/>
        </w:rPr>
      </w:pPr>
      <w:r>
        <w:rPr>
          <w:sz w:val="24"/>
        </w:rPr>
      </w:r>
    </w:p>
    <w:p>
      <w:pPr>
        <w:pStyle w:val="BodyText2"/>
        <w:rPr/>
      </w:pPr>
      <w:r>
        <w:rPr/>
        <w:t>5. This LOI shall be construed and interpreted under the laws of the State of Texas (exclusive of any conflict of law provisions which would apply the law of another jurisdiction), provided that any provision of such laws invalidating any provision of this LOI or modifying the intent of Enron and Panda as expressed in the terms of this LOI, shall not apply.  Neither Enron nor Panda shall be entitled to assign this LOI without the other's prior written consent, which consent shall not be unreasonably withheld.  This LOI is for the benefit of Enron and Panda and is not intended nor shall it be construed to confer any rights or any benefits upon persons other than Enron or Panda.</w:t>
      </w:r>
    </w:p>
    <w:p>
      <w:pPr>
        <w:pStyle w:val="Normal"/>
        <w:tabs>
          <w:tab w:val="clear" w:pos="720"/>
          <w:tab w:val="left" w:pos="-720" w:leader="none"/>
        </w:tabs>
        <w:suppressAutoHyphens w:val="true"/>
        <w:jc w:val="both"/>
        <w:rPr>
          <w:sz w:val="24"/>
        </w:rPr>
      </w:pPr>
      <w:r>
        <w:rPr>
          <w:sz w:val="24"/>
        </w:rPr>
      </w:r>
    </w:p>
    <w:p>
      <w:pPr>
        <w:pStyle w:val="Normal"/>
        <w:tabs>
          <w:tab w:val="clear" w:pos="720"/>
          <w:tab w:val="left" w:pos="-720" w:leader="none"/>
        </w:tabs>
        <w:suppressAutoHyphens w:val="true"/>
        <w:jc w:val="both"/>
        <w:rPr>
          <w:sz w:val="24"/>
        </w:rPr>
      </w:pPr>
      <w:r>
        <w:rPr>
          <w:sz w:val="24"/>
        </w:rPr>
        <w:t>6.  No change, amendment or modification of this LOI shall be valid or binding upon the Parties hereto unless such change, amendment or modification is in writing and duly executed by the appropriately authorized representatives of all Parties hereto.</w:t>
      </w:r>
    </w:p>
    <w:p>
      <w:pPr>
        <w:pStyle w:val="Normal"/>
        <w:tabs>
          <w:tab w:val="clear" w:pos="720"/>
          <w:tab w:val="left" w:pos="-720" w:leader="none"/>
        </w:tabs>
        <w:suppressAutoHyphens w:val="true"/>
        <w:jc w:val="both"/>
        <w:rPr>
          <w:sz w:val="24"/>
        </w:rPr>
      </w:pPr>
      <w:r>
        <w:rPr>
          <w:sz w:val="24"/>
        </w:rPr>
      </w:r>
    </w:p>
    <w:p>
      <w:pPr>
        <w:pStyle w:val="Normal"/>
        <w:tabs>
          <w:tab w:val="clear" w:pos="720"/>
          <w:tab w:val="left" w:pos="-720" w:leader="none"/>
        </w:tabs>
        <w:suppressAutoHyphens w:val="true"/>
        <w:jc w:val="both"/>
        <w:rPr>
          <w:sz w:val="24"/>
        </w:rPr>
      </w:pPr>
      <w:r>
        <w:rPr>
          <w:sz w:val="24"/>
        </w:rPr>
        <w:t>7.  No presumption shall operate in favor of or against any Party as a result of any responsibility or role that any Party may have had in the drafting of this LOI.</w:t>
      </w:r>
    </w:p>
    <w:p>
      <w:pPr>
        <w:pStyle w:val="Normal"/>
        <w:tabs>
          <w:tab w:val="clear" w:pos="720"/>
          <w:tab w:val="left" w:pos="-720" w:leader="none"/>
        </w:tabs>
        <w:jc w:val="both"/>
        <w:rPr>
          <w:sz w:val="24"/>
        </w:rPr>
      </w:pPr>
      <w:r>
        <w:rPr>
          <w:sz w:val="24"/>
        </w:rPr>
      </w:r>
    </w:p>
    <w:p>
      <w:pPr>
        <w:pStyle w:val="BodyText3"/>
        <w:jc w:val="both"/>
        <w:rPr/>
      </w:pPr>
      <w:r>
        <w:rPr/>
        <w:t>8.  Nothing contained in this LOI shall be construed as constituting a joint venture or partnership between the Parties.</w:t>
      </w:r>
    </w:p>
    <w:p>
      <w:pPr>
        <w:pStyle w:val="BodyText3"/>
        <w:jc w:val="both"/>
        <w:rPr/>
      </w:pPr>
      <w:r>
        <w:rPr/>
      </w:r>
    </w:p>
    <w:p>
      <w:pPr>
        <w:pStyle w:val="BodyText3"/>
        <w:jc w:val="both"/>
        <w:rPr/>
      </w:pPr>
      <w:r>
        <w:rPr/>
        <w:t>9.  The failure of any Party to insist upon or enforce, in any instance, strict performance by any other Party of any provision or to exercise any right herein conferred shall not be construed as a waiver or relinquishment to any extent of its right to assert or rely upon any such provision or rights on any future occasion.</w:t>
      </w:r>
    </w:p>
    <w:p>
      <w:pPr>
        <w:pStyle w:val="BodyText3"/>
        <w:jc w:val="both"/>
        <w:rPr/>
      </w:pPr>
      <w:r>
        <w:rPr/>
      </w:r>
    </w:p>
    <w:p>
      <w:pPr>
        <w:pStyle w:val="BodyText3"/>
        <w:jc w:val="both"/>
        <w:rPr/>
      </w:pPr>
      <w:r>
        <w:rPr/>
        <w:t xml:space="preserve">10.  No oral agreement or conversation with any officer, agent or employee of any Party, either before or after the execution of this LOI, shall affect or modify any of the terms or obligations herein contained. This LOI constitutes the entire agreement between the Parties </w:t>
      </w:r>
      <w:r>
        <w:rPr>
          <w:spacing w:val="-3"/>
        </w:rPr>
        <w:t>hereto and no changes, alterations or modifications hereof shall be effective unless in writing and signed by the duly authorized representatives of the Parties.</w:t>
      </w:r>
    </w:p>
    <w:p>
      <w:pPr>
        <w:pStyle w:val="BodyText3"/>
        <w:jc w:val="both"/>
        <w:rPr>
          <w:spacing w:val="-3"/>
        </w:rPr>
      </w:pPr>
      <w:r>
        <w:rPr>
          <w:spacing w:val="-3"/>
        </w:rPr>
      </w:r>
    </w:p>
    <w:p>
      <w:pPr>
        <w:pStyle w:val="BodyTextIndent2"/>
        <w:ind w:start="0" w:end="0"/>
        <w:rPr>
          <w:rFonts w:ascii="Times New Roman" w:hAnsi="Times New Roman" w:cs="Times New Roman"/>
          <w:sz w:val="24"/>
        </w:rPr>
      </w:pPr>
      <w:r>
        <w:rPr>
          <w:rFonts w:cs="Times New Roman" w:ascii="Times New Roman" w:hAnsi="Times New Roman"/>
          <w:sz w:val="24"/>
        </w:rPr>
        <w:t xml:space="preserve">11.  All Parties must give prior consent to the issuance of any press release, advertisement, publicity material, prospectus, financial document or similar matter or to the participation in a media interview which mentions or refers to the Gas Supply Agreement or this LOI. </w:t>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b/>
          <w:sz w:val="24"/>
        </w:rPr>
      </w:pPr>
      <w:r>
        <w:rPr>
          <w:rFonts w:cs="Times New Roman"/>
          <w:b/>
          <w:sz w:val="24"/>
        </w:rPr>
      </w:r>
    </w:p>
    <w:p>
      <w:pPr>
        <w:pStyle w:val="Normal"/>
        <w:tabs>
          <w:tab w:val="clear" w:pos="720"/>
          <w:tab w:val="left" w:pos="-720" w:leader="none"/>
          <w:tab w:val="left" w:pos="0" w:leader="none"/>
        </w:tabs>
        <w:suppressAutoHyphens w:val="true"/>
        <w:jc w:val="both"/>
        <w:rPr>
          <w:b/>
          <w:sz w:val="24"/>
        </w:rPr>
      </w:pPr>
      <w:r>
        <w:rPr>
          <w:b/>
          <w:sz w:val="24"/>
        </w:rPr>
      </w:r>
    </w:p>
    <w:p>
      <w:pPr>
        <w:pStyle w:val="Normal"/>
        <w:tabs>
          <w:tab w:val="clear" w:pos="720"/>
          <w:tab w:val="left" w:pos="-720" w:leader="none"/>
          <w:tab w:val="left" w:pos="0" w:leader="none"/>
        </w:tabs>
        <w:suppressAutoHyphens w:val="true"/>
        <w:ind w:hanging="720" w:start="720" w:end="0"/>
        <w:jc w:val="both"/>
        <w:rPr>
          <w:sz w:val="24"/>
        </w:rPr>
      </w:pPr>
      <w:r>
        <w:rPr>
          <w:sz w:val="24"/>
        </w:rPr>
        <w:t>IN WITNESS WHEREOF, each of the Parties hereto has caused this LOI to be executed as of the date and year written below, but effective as set forth hereinabove.</w:t>
      </w:r>
    </w:p>
    <w:p>
      <w:pPr>
        <w:pStyle w:val="Normal"/>
        <w:rPr>
          <w:sz w:val="24"/>
        </w:rPr>
      </w:pPr>
      <w:r>
        <w:rPr>
          <w:sz w:val="24"/>
        </w:rPr>
      </w:r>
    </w:p>
    <w:p>
      <w:pPr>
        <w:pStyle w:val="Normal"/>
        <w:rPr>
          <w:sz w:val="24"/>
        </w:rPr>
      </w:pPr>
      <w:r>
        <w:rPr>
          <w:sz w:val="24"/>
        </w:rPr>
      </w:r>
    </w:p>
    <w:p>
      <w:pPr>
        <w:pStyle w:val="Normal"/>
        <w:rPr>
          <w:b/>
          <w:sz w:val="24"/>
        </w:rPr>
      </w:pPr>
      <w:r>
        <w:rPr>
          <w:b/>
          <w:sz w:val="24"/>
        </w:rPr>
        <w:t>Panda Leesburg Power Partners, L.P.</w:t>
        <w:tab/>
        <w:tab/>
        <w:t>Enron North America Corp.</w:t>
      </w:r>
    </w:p>
    <w:p>
      <w:pPr>
        <w:pStyle w:val="Normal"/>
        <w:rPr>
          <w:b/>
          <w:sz w:val="24"/>
        </w:rPr>
      </w:pPr>
      <w:r>
        <w:rPr>
          <w:b/>
          <w:sz w:val="24"/>
        </w:rPr>
        <w:t>By Panda Leesburg I, LLC</w:t>
      </w:r>
    </w:p>
    <w:p>
      <w:pPr>
        <w:pStyle w:val="Normal"/>
        <w:rPr>
          <w:b/>
          <w:sz w:val="24"/>
        </w:rPr>
      </w:pPr>
      <w:r>
        <w:rPr>
          <w:b/>
          <w:sz w:val="24"/>
        </w:rPr>
        <w:t>Its general partner</w:t>
      </w:r>
    </w:p>
    <w:p>
      <w:pPr>
        <w:pStyle w:val="Normal"/>
        <w:rPr>
          <w:sz w:val="24"/>
        </w:rPr>
      </w:pPr>
      <w:r>
        <w:rPr>
          <w:sz w:val="24"/>
        </w:rPr>
        <w:t xml:space="preserve"> </w:t>
      </w:r>
    </w:p>
    <w:p>
      <w:pPr>
        <w:pStyle w:val="Normal"/>
        <w:rPr>
          <w:sz w:val="24"/>
        </w:rPr>
      </w:pPr>
      <w:r>
        <w:rPr>
          <w:sz w:val="24"/>
        </w:rPr>
        <w:t>By: ____________________________</w:t>
        <w:tab/>
        <w:tab/>
        <w:t>By:_____________________</w:t>
        <w:tab/>
      </w:r>
    </w:p>
    <w:p>
      <w:pPr>
        <w:pStyle w:val="Normal"/>
        <w:rPr>
          <w:sz w:val="24"/>
        </w:rPr>
      </w:pPr>
      <w:r>
        <w:rPr>
          <w:sz w:val="24"/>
        </w:rPr>
      </w:r>
    </w:p>
    <w:p>
      <w:pPr>
        <w:pStyle w:val="Normal"/>
        <w:rPr>
          <w:sz w:val="24"/>
        </w:rPr>
      </w:pPr>
      <w:r>
        <w:rPr>
          <w:sz w:val="24"/>
        </w:rPr>
        <w:t>Title: __________________________</w:t>
        <w:tab/>
        <w:tab/>
        <w:t>Title:____________________</w:t>
        <w:tab/>
      </w:r>
    </w:p>
    <w:p>
      <w:pPr>
        <w:pStyle w:val="Normal"/>
        <w:rPr>
          <w:sz w:val="24"/>
        </w:rPr>
      </w:pPr>
      <w:r>
        <w:rPr>
          <w:sz w:val="24"/>
        </w:rPr>
      </w:r>
    </w:p>
    <w:p>
      <w:pPr>
        <w:pStyle w:val="Normal"/>
        <w:rPr>
          <w:sz w:val="24"/>
          <w:u w:val="single"/>
        </w:rPr>
      </w:pPr>
      <w:r>
        <w:rPr>
          <w:sz w:val="24"/>
        </w:rPr>
        <w:t>Date: _____________________________</w:t>
        <w:tab/>
        <w:tab/>
        <w:t>Date:____________________</w:t>
        <w:tab/>
      </w:r>
    </w:p>
    <w:p>
      <w:pPr>
        <w:pStyle w:val="Normal"/>
        <w:rPr>
          <w:sz w:val="24"/>
          <w:u w:val="single"/>
        </w:rPr>
      </w:pPr>
      <w:r>
        <w:rPr>
          <w:sz w:val="24"/>
          <w:u w:val="single"/>
        </w:rPr>
      </w:r>
    </w:p>
    <w:p>
      <w:pPr>
        <w:pStyle w:val="Normal"/>
        <w:rPr>
          <w:sz w:val="24"/>
        </w:rPr>
      </w:pPr>
      <w:r>
        <w:rPr>
          <w:sz w:val="24"/>
        </w:rPr>
      </w:r>
    </w:p>
    <w:sectPr>
      <w:footerReference w:type="default" r:id="rId2"/>
      <w:type w:val="nextPage"/>
      <w:pgSz w:w="12240" w:h="15840"/>
      <w:pgMar w:left="1800" w:right="1800" w:gutter="0" w:header="0" w:top="1152"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Footer"/>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ind w:hanging="0" w:start="720" w:end="0"/>
      <w:jc w:val="both"/>
      <w:outlineLvl w:val="1"/>
    </w:pPr>
    <w:rPr>
      <w:sz w:val="24"/>
      <w:lang w:eastAsia="en-CA"/>
    </w:rPr>
  </w:style>
  <w:style w:type="paragraph" w:styleId="Heading3">
    <w:name w:val="heading 3"/>
    <w:basedOn w:val="Normal"/>
    <w:next w:val="Normal"/>
    <w:qFormat/>
    <w:pPr>
      <w:keepNext w:val="true"/>
      <w:numPr>
        <w:ilvl w:val="2"/>
        <w:numId w:val="1"/>
      </w:numPr>
      <w:outlineLvl w:val="2"/>
    </w:pPr>
    <w:rPr>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lang w:eastAsia="en-CA"/>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s>
      <w:ind w:hanging="0" w:start="720" w:end="0"/>
      <w:jc w:val="both"/>
    </w:pPr>
    <w:rPr>
      <w:rFonts w:ascii="Arial" w:hAnsi="Arial" w:cs="Arial"/>
      <w:sz w:val="24"/>
      <w:lang w:eastAsia="en-CA"/>
    </w:rPr>
  </w:style>
  <w:style w:type="paragraph" w:styleId="Subtitle">
    <w:name w:val="Subtitle"/>
    <w:basedOn w:val="Normal"/>
    <w:next w:val="BodyText"/>
    <w:qFormat/>
    <w:pPr>
      <w:jc w:val="center"/>
    </w:pPr>
    <w:rPr>
      <w:sz w:val="24"/>
    </w:rPr>
  </w:style>
  <w:style w:type="paragraph" w:styleId="BodyText2">
    <w:name w:val="Body Text 2"/>
    <w:basedOn w:val="Normal"/>
    <w:qFormat/>
    <w:pPr>
      <w:jc w:val="both"/>
    </w:pPr>
    <w:rPr>
      <w:sz w:val="24"/>
    </w:rPr>
  </w:style>
  <w:style w:type="paragraph" w:styleId="BodyTextIndent2">
    <w:name w:val="Body Text Indent 2"/>
    <w:basedOn w:val="Normal"/>
    <w:qFormat/>
    <w:pPr>
      <w:tabs>
        <w:tab w:val="clear" w:pos="720"/>
        <w:tab w:val="left" w:pos="-720" w:leader="none"/>
      </w:tabs>
      <w:suppressAutoHyphens w:val="true"/>
      <w:ind w:hanging="0" w:start="720" w:end="0"/>
      <w:jc w:val="both"/>
    </w:pPr>
    <w:rPr>
      <w:rFonts w:ascii="Arial" w:hAnsi="Arial" w:cs="Arial"/>
    </w:rPr>
  </w:style>
  <w:style w:type="paragraph" w:styleId="BodyTextIndent3">
    <w:name w:val="Body Text Indent 3"/>
    <w:basedOn w:val="Normal"/>
    <w:qFormat/>
    <w:pPr>
      <w:tabs>
        <w:tab w:val="clear" w:pos="720"/>
        <w:tab w:val="left" w:pos="-720" w:leader="none"/>
        <w:tab w:val="left" w:pos="540" w:leader="none"/>
      </w:tabs>
      <w:suppressAutoHyphens w:val="true"/>
      <w:ind w:hanging="720" w:start="720" w:end="0"/>
      <w:jc w:val="both"/>
    </w:pPr>
    <w:rPr>
      <w:spacing w:val="-3"/>
      <w:sz w:val="24"/>
    </w:rPr>
  </w:style>
  <w:style w:type="paragraph" w:styleId="BodyText3">
    <w:name w:val="Body Text 3"/>
    <w:basedOn w:val="Normal"/>
    <w:qFormat/>
    <w:pPr>
      <w:tabs>
        <w:tab w:val="clear" w:pos="720"/>
        <w:tab w:val="left" w:pos="-720" w:leader="none"/>
      </w:tabs>
      <w:suppressAutoHyphens w:val="true"/>
    </w:pPr>
    <w:rPr>
      <w:sz w:val="24"/>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2000-04-18T13:21:00Z</dcterms:created>
  <dc:creator>Jim Vincent</dc:creator>
  <dc:description/>
  <dc:language>en-CA</dc:language>
  <cp:lastModifiedBy>loric</cp:lastModifiedBy>
  <cp:lastPrinted>2000-04-18T08:35:00Z</cp:lastPrinted>
  <dcterms:modified xsi:type="dcterms:W3CDTF">2000-04-18T13:21:00Z</dcterms:modified>
  <cp:revision>2</cp:revision>
  <dc:subject/>
  <dc:title>LETTER OF INTENT TO AWARD TURNKEY SWITCHYARD</dc:title>
</cp:coreProperties>
</file>