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 w:hAnsi="CG Times" w:cs="CG Times"/>
          <w:spacing w:val="-3"/>
          <w:sz w:val="36"/>
        </w:rPr>
      </w:pPr>
      <w:r>
        <w:rPr>
          <w:rFonts w:cs="CG Times" w:ascii="CG Times" w:hAnsi="CG Times"/>
          <w:spacing w:val="-3"/>
          <w:sz w:val="36"/>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ind w:firstLine="720" w:start="4320" w:end="0"/>
        <w:jc w:val="both"/>
        <w:rPr>
          <w:rFonts w:ascii="CG Times" w:hAnsi="CG Times" w:cs="CG Times"/>
          <w:spacing w:val="-3"/>
        </w:rPr>
      </w:pPr>
      <w:r>
        <w:rPr>
          <w:rFonts w:cs="CG Times" w:ascii="CG Times" w:hAnsi="CG Times"/>
          <w:spacing w:val="-3"/>
        </w:rPr>
        <w:fldChar w:fldCharType="begin"/>
      </w:r>
      <w:r>
        <w:rPr>
          <w:spacing w:val="-3"/>
          <w:rFonts w:cs="CG Times" w:ascii="CG Times" w:hAnsi="CG Times"/>
        </w:rPr>
        <w:instrText xml:space="preserve"> DATE \@"MMMM\ d', 'yyyy" </w:instrText>
      </w:r>
      <w:r>
        <w:rPr>
          <w:spacing w:val="-3"/>
          <w:rFonts w:cs="CG Times" w:ascii="CG Times" w:hAnsi="CG Times"/>
        </w:rPr>
        <w:fldChar w:fldCharType="separate"/>
      </w:r>
      <w:r>
        <w:rPr>
          <w:spacing w:val="-3"/>
          <w:rFonts w:cs="CG Times" w:ascii="CG Times" w:hAnsi="CG Times"/>
        </w:rPr>
        <w:t>September 28, 2025</w:t>
      </w:r>
      <w:r>
        <w:rPr>
          <w:spacing w:val="-3"/>
          <w:rFonts w:cs="CG Times" w:ascii="CG Times" w:hAnsi="CG Times"/>
        </w:rPr>
        <w:fldChar w:fldCharType="end"/>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[Enron North America Corporation]</w:t>
      </w:r>
    </w:p>
    <w:p>
      <w:pPr>
        <w:pStyle w:val="Normal"/>
        <w:suppressAutoHyphens w:val="true"/>
        <w:jc w:val="both"/>
        <w:rPr>
          <w:rFonts w:ascii="CG Times" w:hAnsi="CG Times" w:cs="CG Times"/>
          <w:spacing w:val="-3"/>
        </w:rPr>
      </w:pPr>
      <w:r>
        <w:rPr>
          <w:rFonts w:cs="CG Times" w:ascii="CG Times" w:hAnsi="CG Times"/>
          <w:spacing w:val="-3"/>
        </w:rPr>
        <w:t>___________________________</w:t>
      </w:r>
    </w:p>
    <w:p>
      <w:pPr>
        <w:pStyle w:val="Normal"/>
        <w:suppressAutoHyphens w:val="true"/>
        <w:jc w:val="both"/>
        <w:rPr>
          <w:rFonts w:ascii="CG Times" w:hAnsi="CG Times" w:cs="CG Times"/>
          <w:spacing w:val="-3"/>
        </w:rPr>
      </w:pPr>
      <w:r>
        <w:rPr>
          <w:rFonts w:cs="CG Times" w:ascii="CG Times" w:hAnsi="CG Times"/>
          <w:spacing w:val="-3"/>
        </w:rPr>
        <w:t>___________________________</w:t>
      </w:r>
    </w:p>
    <w:p>
      <w:pPr>
        <w:pStyle w:val="Normal"/>
        <w:suppressAutoHyphens w:val="true"/>
        <w:jc w:val="both"/>
        <w:rPr>
          <w:rFonts w:ascii="CG Times" w:hAnsi="CG Times" w:cs="CG Times"/>
          <w:spacing w:val="-3"/>
        </w:rPr>
      </w:pPr>
      <w:r>
        <w:rPr>
          <w:rFonts w:cs="CG Times" w:ascii="CG Times" w:hAnsi="CG Times"/>
          <w:spacing w:val="-3"/>
        </w:rPr>
        <w:tab/>
        <w:tab/>
        <w:tab/>
        <w:tab/>
        <w:tab/>
        <w:tab/>
      </w:r>
    </w:p>
    <w:p>
      <w:pPr>
        <w:pStyle w:val="Normal"/>
        <w:suppressAutoHyphens w:val="true"/>
        <w:jc w:val="both"/>
        <w:rPr>
          <w:rFonts w:ascii="CG Times" w:hAnsi="CG Times" w:cs="CG Times"/>
          <w:spacing w:val="-3"/>
        </w:rPr>
      </w:pPr>
      <w:r>
        <w:rPr>
          <w:rFonts w:cs="CG Times" w:ascii="CG Times" w:hAnsi="CG Times"/>
          <w:spacing w:val="-3"/>
        </w:rPr>
        <w:t>Attention:  __________________</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Re:  Midway Energy Center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Gentlemen: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In accordance with the discussions between representatives of TECO Power Services Corporation (“TPS”) and [Enron North America Corporation] (“Enron”)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assets from Enron relating to the development of a power generation facility to be located in St. Lucie County, Florida (the “Project”) and enter into a tolling arrangement with Enron to purchase the output from the Project.  The Transaction would be structured in accordance with the general terms and conditions set forth below and in the summary of proposed terms contained in </w:t>
      </w:r>
      <w:r>
        <w:rPr>
          <w:rFonts w:cs="CG Times" w:ascii="CG Times" w:hAnsi="CG Times"/>
          <w:b/>
          <w:spacing w:val="-3"/>
        </w:rPr>
        <w:t>Exhibit A</w:t>
      </w:r>
      <w:r>
        <w:rPr>
          <w:rFonts w:cs="CG Times" w:ascii="CG Times" w:hAnsi="CG Times"/>
          <w:spacing w:val="-3"/>
        </w:rPr>
        <w:t xml:space="preserve"> which is attached hereto and made a part hereof. </w:t>
      </w:r>
    </w:p>
    <w:p>
      <w:pPr>
        <w:pStyle w:val="Normal"/>
        <w:suppressAutoHyphens w:val="true"/>
        <w:jc w:val="both"/>
        <w:rPr>
          <w:rFonts w:ascii="CG Times" w:hAnsi="CG Times" w:cs="CG Times"/>
          <w:spacing w:val="-3"/>
        </w:rPr>
      </w:pPr>
      <w:r>
        <w:rPr>
          <w:rFonts w:cs="CG Times" w:ascii="CG Times" w:hAnsi="CG Times"/>
          <w:spacing w:val="-3"/>
        </w:rPr>
      </w:r>
    </w:p>
    <w:p>
      <w:pPr>
        <w:pStyle w:val="BodyTextIndent2"/>
        <w:jc w:val="both"/>
        <w:rPr/>
      </w:pPr>
      <w:r>
        <w:rPr/>
        <w:t xml:space="preserve">Upon acceptance and execution by Enron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Transaction</w:t>
      </w:r>
      <w:r>
        <w:rPr>
          <w:rFonts w:cs="CG Times" w:ascii="CG Times" w:hAnsi="CG Times"/>
          <w:spacing w:val="-3"/>
        </w:rPr>
        <w:t xml:space="preserve">.  Pursuant to the Transaction, TPS would purchase all of Enron’s development assets (the “Development Assets”) relating to the Project, including without </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BodyTextIndent"/>
        <w:widowControl/>
        <w:tabs>
          <w:tab w:val="left" w:pos="-720" w:leader="none"/>
          <w:tab w:val="left" w:pos="0" w:leader="none"/>
        </w:tabs>
        <w:rPr/>
      </w:pPr>
      <w:r>
        <w:rPr/>
        <w:t xml:space="preserve">limitation: land option(s) for site property, preliminary layout and design documents, Transmission Interconnection Agreement with Florida Power &amp; Light, Inc., water use permit, PSD permit, environmental resource permit, air permit, all site assessment reports and documents and FGT Natural Gas Interconnection Agreement.  The complete list of Development Assets and the purchase price would be finalized during the Negotiation Period (as defined below).  </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BodyTextIndent"/>
        <w:widowControl/>
        <w:tabs>
          <w:tab w:val="left" w:pos="-720" w:leader="none"/>
          <w:tab w:val="left" w:pos="0" w:leader="none"/>
        </w:tabs>
        <w:rPr/>
      </w:pPr>
      <w:r>
        <w:rPr/>
        <w:t>The Parties contemplate that after purchasing the Development Assets,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start="720" w:end="0"/>
        <w:jc w:val="both"/>
        <w:rPr>
          <w:rFonts w:ascii="CG Times" w:hAnsi="CG Times" w:cs="CG Times"/>
          <w:spacing w:val="-3"/>
        </w:rPr>
      </w:pPr>
      <w:r>
        <w:rPr>
          <w:rFonts w:cs="CG Times" w:ascii="CG Times" w:hAnsi="CG Times"/>
          <w:spacing w:val="-3"/>
        </w:rPr>
        <w:t xml:space="preserve">As a part of the Transaction, Enron would enter into a tolling agreement with TPS to provide Natural Gas to, and purchase all of the output from, the Project.  The tolling agreement would be negotiated during the Negotiation Period. </w:t>
      </w:r>
    </w:p>
    <w:p>
      <w:pPr>
        <w:pStyle w:val="Normal"/>
        <w:numPr>
          <w:ilvl w:val="0"/>
          <w:numId w:val="2"/>
        </w:numPr>
        <w:spacing w:before="120" w:after="0"/>
        <w:jc w:val="both"/>
        <w:rPr/>
      </w:pPr>
      <w:r>
        <w:rPr>
          <w:rFonts w:cs="CG Times" w:ascii="CG Times" w:hAnsi="CG Times"/>
          <w:spacing w:val="-3"/>
          <w:u w:val="single"/>
        </w:rPr>
        <w:t>Terms and Conditions</w:t>
      </w:r>
      <w:r>
        <w:rPr>
          <w:rFonts w:cs="CG Times" w:ascii="CG Times" w:hAnsi="CG Times"/>
          <w:spacing w:val="-3"/>
        </w:rPr>
        <w:t xml:space="preserve">.  The structure, final configuration, and binding terms and conditions of the Transaction would be reflected in the Definitive Agreements between TPS and Enron, including, among others: a Development Assets Purchase Agreement, a Tolling Agreement and one or more additional agreements as may be necessary to address typical requirements of a commercial nature and the remaining terms and conditions contained in </w:t>
      </w:r>
      <w:r>
        <w:rPr>
          <w:rFonts w:cs="CG Times" w:ascii="CG Times" w:hAnsi="CG Times"/>
          <w:b/>
          <w:spacing w:val="-3"/>
        </w:rPr>
        <w:t>Exhibit A</w:t>
      </w:r>
      <w:r>
        <w:rPr>
          <w:rFonts w:cs="CG Times" w:ascii="CG Times" w:hAnsi="CG Times"/>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2"/>
        </w:numPr>
        <w:spacing w:before="120" w:after="0"/>
        <w:jc w:val="both"/>
        <w:rPr/>
      </w:pPr>
      <w:r>
        <w:rPr>
          <w:rFonts w:cs="CG Times" w:ascii="CG Times" w:hAnsi="CG Times"/>
          <w:spacing w:val="-3"/>
          <w:u w:val="single"/>
        </w:rPr>
        <w:t>Conditions Precedent</w:t>
      </w:r>
      <w:r>
        <w:rPr>
          <w:rFonts w:cs="CG Times" w:ascii="CG Times" w:hAnsi="CG Times"/>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Agreement to Negotiate in Good Faith</w:t>
      </w:r>
      <w:r>
        <w:rPr>
          <w:rFonts w:cs="CG Times" w:ascii="CG Times" w:hAnsi="CG Times"/>
          <w:spacing w:val="-3"/>
        </w:rPr>
        <w:t>.  TPS and Enron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sixty (60) days after execution of this LOI by Enron.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5.</w:t>
        <w:tab/>
      </w:r>
      <w:r>
        <w:rPr>
          <w:rFonts w:cs="CG Times" w:ascii="CG Times" w:hAnsi="CG Times"/>
          <w:spacing w:val="-3"/>
          <w:u w:val="single"/>
        </w:rPr>
        <w:t>Due Diligence</w:t>
      </w:r>
      <w:r>
        <w:rPr>
          <w:rFonts w:cs="CG Times" w:ascii="CG Times" w:hAnsi="CG Times"/>
          <w:spacing w:val="-3"/>
        </w:rPr>
        <w:t>.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Enron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6.</w:t>
        <w:tab/>
      </w:r>
      <w:r>
        <w:rPr>
          <w:rFonts w:cs="CG Times" w:ascii="CG Times" w:hAnsi="CG Times"/>
          <w:spacing w:val="-3"/>
          <w:u w:val="single"/>
        </w:rPr>
        <w:t>Exclusive Dealing</w:t>
      </w:r>
      <w:r>
        <w:rPr>
          <w:rFonts w:cs="CG Times" w:ascii="CG Times" w:hAnsi="CG Times"/>
          <w:spacing w:val="-3"/>
        </w:rPr>
        <w:t>.  During the Negotiation Period, neither of the Parties shall enter into negotiations or discussions of any kind whatsoever with any person or entity other than the Parties or their advisors with respect to the transactions contemplated by this LOI.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7.</w:t>
        <w:tab/>
      </w:r>
      <w:r>
        <w:rPr>
          <w:rFonts w:cs="CG Times" w:ascii="CG Times" w:hAnsi="CG Times"/>
          <w:spacing w:val="-3"/>
          <w:u w:val="single"/>
        </w:rPr>
        <w:t>Public Statement</w:t>
      </w:r>
      <w:r>
        <w:rPr>
          <w:rFonts w:cs="CG Times" w:ascii="CG Times" w:hAnsi="CG Times"/>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3"/>
        </w:numPr>
        <w:tabs>
          <w:tab w:val="clear" w:pos="720"/>
          <w:tab w:val="left" w:pos="-720" w:leader="none"/>
          <w:tab w:val="left" w:pos="0" w:leader="none"/>
        </w:tabs>
        <w:suppressAutoHyphens w:val="true"/>
        <w:jc w:val="both"/>
        <w:rPr/>
      </w:pPr>
      <w:r>
        <w:rPr>
          <w:rFonts w:cs="CG Times" w:ascii="CG Times" w:hAnsi="CG Times"/>
          <w:u w:val="single"/>
        </w:rPr>
        <w:t>Confidentiality</w:t>
      </w:r>
      <w:r>
        <w:rPr>
          <w:rFonts w:cs="CG Times" w:ascii="CG Times" w:hAnsi="CG Times"/>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9.</w:t>
        <w:tab/>
      </w:r>
      <w:r>
        <w:rPr>
          <w:rFonts w:cs="CG Times" w:ascii="CG Times" w:hAnsi="CG Times"/>
          <w:spacing w:val="-3"/>
          <w:u w:val="single"/>
        </w:rPr>
        <w:t>EPC Contract</w:t>
      </w:r>
      <w:r>
        <w:rPr>
          <w:rFonts w:cs="CG Times" w:ascii="CG Times" w:hAnsi="CG Times"/>
          <w:spacing w:val="-3"/>
        </w:rPr>
        <w:t>.  During the Negotiation Period, TPS shall negotiate in good faith with National Energy Production Corporation (the “EPC Contractor”)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In such event and if the Transaction is not consummated and TPS does not execute the Definitive Agreements at the conclusion of the Negotiation Period, TPS and Enron would split evenly all cancellation charges payable to the EPC Contractor.  If the Transaction is consummated and TPS executes the Definitive Agreements, than all Project costs associated with the contract with the EPC Contractor would be to the account of TPS.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Costs and Expenses</w:t>
      </w:r>
      <w:r>
        <w:rPr>
          <w:rFonts w:cs="CG Times" w:ascii="CG Times" w:hAnsi="CG Times"/>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Assignment</w:t>
      </w:r>
      <w:r>
        <w:rPr>
          <w:rFonts w:cs="CG Times" w:ascii="CG Times" w:hAnsi="CG Times"/>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left" w:pos="-720" w:leader="none"/>
          <w:tab w:val="left" w:pos="0" w:leader="none"/>
          <w:tab w:val="left" w:pos="720" w:leader="none"/>
        </w:tabs>
        <w:suppressAutoHyphens w:val="true"/>
        <w:ind w:hanging="720" w:start="720" w:end="0"/>
        <w:jc w:val="both"/>
        <w:rPr>
          <w:rFonts w:ascii="CG Times" w:hAnsi="CG Times" w:cs="CG Times"/>
          <w:spacing w:val="-3"/>
          <w:u w:val="single"/>
        </w:rPr>
      </w:pPr>
      <w:r>
        <w:rPr>
          <w:rFonts w:cs="CG Times" w:ascii="CG Times" w:hAnsi="CG Times"/>
          <w:spacing w:val="-3"/>
          <w:u w:val="single"/>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Governing Law</w:t>
      </w:r>
      <w:r>
        <w:rPr>
          <w:rFonts w:cs="CG Times" w:ascii="CG Times" w:hAnsi="CG Times"/>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rPr>
      </w:pPr>
      <w:r>
        <w:rPr>
          <w:rFonts w:cs="CG Times" w:ascii="CG Times" w:hAnsi="CG Times"/>
        </w:rPr>
        <w:t>13.</w:t>
        <w:tab/>
      </w:r>
      <w:r>
        <w:rPr>
          <w:rFonts w:cs="CG Times" w:ascii="CG Times" w:hAnsi="CG Times"/>
          <w:u w:val="single"/>
        </w:rPr>
        <w:t>Dispute Resolution</w:t>
      </w:r>
      <w:r>
        <w:rPr>
          <w:rFonts w:cs="CG Times" w:ascii="CG Times" w:hAnsi="CG Times"/>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Prior Agreements</w:t>
      </w:r>
      <w:r>
        <w:rPr>
          <w:rFonts w:cs="CG Times" w:ascii="CG Times" w:hAnsi="CG Times"/>
          <w:spacing w:val="-3"/>
        </w:rPr>
        <w:t xml:space="preserve">.  </w:t>
      </w:r>
      <w:r>
        <w:rPr>
          <w:rFonts w:cs="CG Times" w:ascii="CG Times" w:hAnsi="CG Times"/>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No Liability</w:t>
      </w:r>
      <w:r>
        <w:rPr>
          <w:rFonts w:cs="CG Times" w:ascii="CG Times" w:hAnsi="CG Times"/>
          <w:spacing w:val="-3"/>
        </w:rPr>
        <w:t xml:space="preserve">.  </w:t>
      </w:r>
      <w:r>
        <w:rPr>
          <w:rFonts w:cs="CG Times" w:ascii="CG Times" w:hAnsi="CG Times"/>
        </w:rPr>
        <w:t xml:space="preserve">The paragraphs and provisions of </w:t>
      </w:r>
      <w:r>
        <w:rPr>
          <w:rFonts w:cs="CG Times" w:ascii="CG Times" w:hAnsi="CG Times"/>
          <w:b/>
        </w:rPr>
        <w:t>Part I</w:t>
      </w:r>
      <w:r>
        <w:rPr>
          <w:rFonts w:cs="CG Times" w:ascii="CG Times" w:hAnsi="CG Times"/>
        </w:rPr>
        <w:t xml:space="preserve"> and </w:t>
      </w:r>
      <w:r>
        <w:rPr>
          <w:rFonts w:cs="CG Times" w:ascii="CG Times" w:hAnsi="CG Times"/>
          <w:b/>
        </w:rPr>
        <w:t>Exhibit A</w:t>
      </w:r>
      <w:r>
        <w:rPr>
          <w:rFonts w:cs="CG Times" w:ascii="CG Times" w:hAnsi="CG Times"/>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No Consequential or Punitive Damages</w:t>
      </w:r>
      <w:r>
        <w:rPr>
          <w:rFonts w:cs="CG Times" w:ascii="CG Times" w:hAnsi="CG Times"/>
          <w:spacing w:val="-3"/>
        </w:rPr>
        <w:t xml:space="preserve">.  </w:t>
      </w:r>
      <w:r>
        <w:rPr>
          <w:rFonts w:cs="CG Times" w:ascii="CG Times" w:hAnsi="CG Times"/>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 w:ascii="CG Times" w:hAnsi="CG Times"/>
        </w:rPr>
        <w:t>.</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spacing w:val="-3"/>
          <w:u w:val="single"/>
        </w:rPr>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numPr>
          <w:ilvl w:val="0"/>
          <w:numId w:val="4"/>
        </w:numPr>
        <w:tabs>
          <w:tab w:val="left" w:pos="-720" w:leader="none"/>
          <w:tab w:val="left" w:pos="0" w:leader="none"/>
          <w:tab w:val="left" w:pos="720" w:leader="none"/>
        </w:tabs>
        <w:suppressAutoHyphens w:val="true"/>
        <w:ind w:hanging="720" w:start="720" w:end="0"/>
        <w:jc w:val="both"/>
        <w:rPr>
          <w:rFonts w:ascii="CG Times" w:hAnsi="CG Times" w:cs="CG Times"/>
          <w:spacing w:val="-3"/>
        </w:rPr>
      </w:pPr>
      <w:r>
        <w:rPr>
          <w:rFonts w:cs="CG Times" w:ascii="CG Times" w:hAnsi="CG Times"/>
          <w:spacing w:val="-3"/>
          <w:u w:val="single"/>
        </w:rPr>
        <w:t>Relationship of the Parties</w:t>
      </w:r>
      <w:r>
        <w:rPr>
          <w:rFonts w:cs="CG Times" w:ascii="CG Times" w:hAnsi="CG Times"/>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This LOI sets forth TPS's and Enron's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Very truly yours,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TECO Power Services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By:  ____________________________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Name: 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Title: 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Accepted and agreed this ____</w:t>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day of June, 2001</w:t>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pPr>
      <w:r>
        <w:rPr>
          <w:rFonts w:cs="CG Times" w:ascii="CG Times" w:hAnsi="CG Times"/>
          <w:spacing w:val="-3"/>
        </w:rPr>
        <w:t>By:</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Name: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Title: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 w:hAnsi="CG Times" w:cs="CG Times"/>
          <w:spacing w:val="-3"/>
        </w:rPr>
      </w:pPr>
      <w:r>
        <w:rPr>
          <w:rFonts w:cs="CG Times" w:ascii="CG Times" w:hAnsi="CG Times"/>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t>Enron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pPr>
      <w:r>
        <w:rPr/>
      </w:r>
    </w:p>
    <w:p>
      <w:pPr>
        <w:pStyle w:val="Normal"/>
        <w:jc w:val="both"/>
        <w:rPr>
          <w:b/>
        </w:rPr>
      </w:pPr>
      <w:r>
        <w:rPr>
          <w:b/>
        </w:rPr>
        <w:t>Development Assets Purchase Agreement:</w:t>
      </w:r>
    </w:p>
    <w:p>
      <w:pPr>
        <w:pStyle w:val="Normal"/>
        <w:jc w:val="both"/>
        <w:rPr>
          <w:b/>
        </w:rPr>
      </w:pPr>
      <w:r>
        <w:rPr>
          <w:b/>
        </w:rPr>
      </w:r>
    </w:p>
    <w:p>
      <w:pPr>
        <w:pStyle w:val="Normal"/>
        <w:ind w:firstLine="720" w:end="0"/>
        <w:jc w:val="both"/>
        <w:rPr/>
      </w:pPr>
      <w:r>
        <w:rPr/>
        <w:t>The Development Assets Purchase Agreement would include the principle terms and conditions of the Transaction relating to the purchase of Enron’s interest in the Project by TPS.  TPS would verify the scope and condition of the Development Assets during the Negotiation Period.  The purchase price for the Development Assets would be determined during the Negotiation Period.</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The form of the purchase of the Development Assets would either be an asset purchase or a stock purchase of all of Enron’s ownership interest in the Enron subsidiary currently developing the Project.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As part of the Transaction, TPS and Enron would enter into a Tolling Agreement for the Project pursuant to which Enron would agree to supply all of the natural gas for the Project and purchase all of the output from the Project.  The term of the Tolling Agreement would be a period of five years commencing on commercial operation of the Project.  The price Enron would pay for the output of the Project would include a capacity charge, a variable operations and maintenance charge for natural gas, a variable operations and maintenance charge for No. 2 fuel oil, and a per start charge.</w:t>
      </w:r>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TPS would design and construct the Project to allow for conversion to combined cycle operation at some point in the future.  TPS would bear all costs associated with modifying the Project for combined cycle operation.  The Tolling Agreement would contain a provision for renegotiating the terms, conditions and length of the Tolling Agreement in the event TPS modifies the Project for combined cycle operation.  TPS would have the right to terminate the Tolling Agreement if the following conditions have occurred:  (i) TPS has notified Enron that it intends to convert the Project to combined cycle operation, (ii) TPS and Enron are unable to reach agreement on a mutually acceptable amendment to the Tolling Agreement, and (iii) three years have elapsed since the commercial operation date of the Project.</w:t>
      </w:r>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Pursuant to the Tolling Agreement, Enron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The Parties anticipate that the Project would receive transmission credits from Florida Power &amp; Light, Inc. in exchange for funding improvements to FP&amp;L’s transmission system to allow transmission interconnection of the Project.  As part of the Transaction, Enron would agree to purchase all such transmission credits at face value.</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r>
        <w:rPr/>
        <w:t xml:space="preserve">TPS obligations to proceed with the Project would be expressly contingent on the Project’s receipt of all necessary permits and regulatory approvals.  The Parties would cooperate to obtain all necessary permits, licenses and regulatory approvals for the Project.  </w:t>
      </w:r>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 xml:space="preserve">TPS would be responsible for obtaining financing for construction and long term ownership of the Project. </w:t>
      </w:r>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Enron_LOI.v1.522.doc</w:t>
    </w:r>
    <w:r>
      <w:rPr>
        <w:sz w:val="16"/>
        <w:rFonts w:cs="CG Times" w:ascii="CG Times" w:hAnsi="CG 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Enron_LOI.v1.522.doc</w:t>
    </w:r>
    <w:r>
      <w:rPr>
        <w:sz w:val="16"/>
        <w:rFonts w:cs="CG Times" w:ascii="CG Times" w:hAnsi="CG Time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6</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8"/>
      <w:numFmt w:val="decimal"/>
      <w:lvlText w:val="%1."/>
      <w:lvlJc w:val="start"/>
      <w:pPr>
        <w:tabs>
          <w:tab w:val="num" w:pos="720"/>
        </w:tabs>
        <w:ind w:start="720" w:hanging="720"/>
      </w:pPr>
      <w:rPr>
        <w:rFonts w:ascii="CG Times" w:hAnsi="CG Times" w:cs="CG Times"/>
      </w:rPr>
    </w:lvl>
  </w:abstractNum>
  <w:abstractNum w:abstractNumId="4">
    <w:lvl w:ilvl="0">
      <w:start w:val="10"/>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 w:hAnsi="CG Times" w:cs="CG Times"/>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CG Times" w:hAnsi="CG Times" w:cs="CG Times"/>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 w:hAnsi="CG Times" w:cs="CG Times"/>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 w:hAnsi="CG Times" w:cs="CG Times"/>
      <w:spacing w:val="-3"/>
    </w:rPr>
  </w:style>
  <w:style w:type="paragraph" w:styleId="BodyTextIndent2">
    <w:name w:val="Body Text Indent 2"/>
    <w:basedOn w:val="Normal"/>
    <w:qFormat/>
    <w:pPr>
      <w:widowControl w:val="false"/>
      <w:ind w:firstLine="720" w:start="0" w:end="0"/>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0"/>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2001-05-23T16:52:00Z</dcterms:created>
  <dc:creator>TECO</dc:creator>
  <dc:description/>
  <dc:language>en-CA</dc:language>
  <cp:lastModifiedBy>Tampa Electric Company</cp:lastModifiedBy>
  <cp:lastPrinted>2001-05-24T15:21:00Z</cp:lastPrinted>
  <dcterms:modified xsi:type="dcterms:W3CDTF">2001-05-24T17:05:00Z</dcterms:modified>
  <cp:revision>13</cp:revision>
  <dc:subject/>
  <dc:title>July 22, 1999</dc:title>
</cp:coreProperties>
</file>