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Footer"/>
        <w:tabs>
          <w:tab w:val="clear" w:pos="4680"/>
          <w:tab w:val="clear" w:pos="9360"/>
        </w:tabs>
        <w:rPr/>
      </w:pPr>
      <w:r>
        <w:rPr/>
      </w:r>
    </w:p>
    <w:p>
      <w:pPr>
        <w:pStyle w:val="Normal"/>
        <w:rPr/>
      </w:pPr>
      <w:r>
        <w:rPr/>
      </w:r>
    </w:p>
    <w:p>
      <w:pPr>
        <w:pStyle w:val="Normal"/>
        <w:rPr/>
      </w:pPr>
      <w:r>
        <w:rPr/>
      </w:r>
    </w:p>
    <w:p>
      <w:pPr>
        <w:pStyle w:val="Normal"/>
        <w:rPr/>
      </w:pPr>
      <w:r>
        <w:rPr/>
        <w:t>Dynegy LNG Production Terminal, LP</w:t>
        <w:tab/>
        <w:t>)</w:t>
        <w:tab/>
        <w:t>Docket No. CP01-423-000</w:t>
      </w:r>
    </w:p>
    <w:p>
      <w:pPr>
        <w:pStyle w:val="Normal"/>
        <w:rPr/>
      </w:pPr>
      <w:r>
        <w:rPr/>
      </w:r>
    </w:p>
    <w:p>
      <w:pPr>
        <w:pStyle w:val="Normal"/>
        <w:rPr/>
      </w:pPr>
      <w:r>
        <w:rPr/>
      </w:r>
    </w:p>
    <w:p>
      <w:pPr>
        <w:pStyle w:val="Normal"/>
        <w:rPr/>
      </w:pPr>
      <w:r>
        <w:rPr/>
      </w:r>
    </w:p>
    <w:p>
      <w:pPr>
        <w:pStyle w:val="Normal"/>
        <w:jc w:val="center"/>
        <w:rPr>
          <w:b/>
        </w:rPr>
      </w:pPr>
      <w:r>
        <w:rPr>
          <w:b/>
        </w:rPr>
        <w:t>LIMITED COMMENTS OF ENRON LNG MARKETING LLC</w:t>
      </w:r>
    </w:p>
    <w:p>
      <w:pPr>
        <w:pStyle w:val="Normal"/>
        <w:jc w:val="center"/>
        <w:rPr>
          <w:b/>
        </w:rPr>
      </w:pPr>
      <w:r>
        <w:rPr>
          <w:b/>
        </w:rPr>
        <w:t>ON REPRESENTATIONS MADE IN RECENT SUBMISSIONS</w:t>
      </w:r>
    </w:p>
    <w:p>
      <w:pPr>
        <w:pStyle w:val="Normal"/>
        <w:rPr/>
      </w:pPr>
      <w:r>
        <w:rPr/>
      </w:r>
    </w:p>
    <w:p>
      <w:pPr>
        <w:pStyle w:val="Normal"/>
        <w:rPr/>
      </w:pPr>
      <w:r>
        <w:rPr/>
      </w:r>
    </w:p>
    <w:p>
      <w:pPr>
        <w:pStyle w:val="Normal"/>
        <w:rPr/>
      </w:pPr>
      <w:r>
        <w:rPr/>
      </w:r>
    </w:p>
    <w:p>
      <w:pPr>
        <w:pStyle w:val="Normal"/>
        <w:spacing w:lineRule="auto" w:line="480"/>
        <w:rPr/>
      </w:pPr>
      <w:r>
        <w:rPr/>
        <w:tab/>
        <w:t xml:space="preserve">Enron LNG Marketing LLC (“Enron LNG”), an intervenor in this docket, submits these comments to supplement its petition to intervene and to address certain representations made by others in recently filed pleadings in this docket.  Specifically, Enron LNG seeks herein to respond to certain claims raised by others.  </w:t>
      </w:r>
    </w:p>
    <w:p>
      <w:pPr>
        <w:pStyle w:val="Normal"/>
        <w:spacing w:lineRule="auto" w:line="480"/>
        <w:ind w:firstLine="720" w:end="0"/>
        <w:rPr/>
      </w:pPr>
      <w:r>
        <w:rPr/>
        <w:t>First, Dynegy LNG Production Terminal, LP (“Dynegy LNG”), the applicant, has represented to the Commission in a pleading filed on September 14, 2001 that its petition for declaratory order “has overwhelming support from all quarters”, and then instructs the Commission to disregard BP Energy Company’s (“BP”) legal argument in opposition to its petition, characterizing it as merely an attempt by BP to hold onto its dominance in the LNG market.</w:t>
      </w:r>
      <w:r>
        <w:rPr>
          <w:rStyle w:val="FootnoteCharacters"/>
          <w:rStyle w:val="FootnoteReference"/>
        </w:rPr>
        <w:footnoteReference w:id="2"/>
      </w:r>
      <w:r>
        <w:rPr/>
        <w:t xml:space="preserve">  Dynegy LNG, however, presumes too much in assuming that the absence heretofore of comments by Enron LNG on the merits of Dynegy LNG’s petition should be interpreted as support for Dynegy LNG’s arguments.  Indeed, Enron LNG specifically reserved its right in its petition to intervene to submit additional comments based on its further review of the claims made by Dynegy LNG in its petition for a declaratory order.  It is therefore disingenuous for Dynegy LNG to characterize that silence as “support”, much less “overwhelming support”.  </w:t>
      </w:r>
    </w:p>
    <w:p>
      <w:pPr>
        <w:pStyle w:val="Normal"/>
        <w:spacing w:lineRule="auto" w:line="480"/>
        <w:rPr/>
      </w:pPr>
      <w:r>
        <w:rPr/>
        <w:tab/>
        <w:t>While it is true that BP has been the only entity to set forth in a pleading a comprehensive review and response to the legal underpinnings of Dynegy LNG’s request for a non-jurisdictional declaration, that does not mean that BP’s arguments are wholly without merit or that they should be disregarded.</w:t>
      </w:r>
      <w:r>
        <w:rPr>
          <w:rStyle w:val="FootnoteCharacters"/>
          <w:rStyle w:val="FootnoteReference"/>
        </w:rPr>
        <w:footnoteReference w:id="3"/>
      </w:r>
      <w:r>
        <w:rPr/>
        <w:t xml:space="preserve">   Indeed, Enron LNG agrees with BP that Dynegy has failed to demonstrate that the National Energy Policy Act of 1992 removed the Commission’s Natural Gas Act jurisdiction over LNG facilities generally and that the FERC therefore will have jurisdiction over Dynegy LNG’s Louisiana-based facilities. </w:t>
      </w:r>
    </w:p>
    <w:p>
      <w:pPr>
        <w:pStyle w:val="Normal"/>
        <w:spacing w:lineRule="auto" w:line="480"/>
        <w:rPr/>
      </w:pPr>
      <w:r>
        <w:rPr/>
        <w:tab/>
        <w:t>Further, the Commission should also reject a proposition of Texaco Gas International Inc. (“Texaco”) that the Commission should continue to regulate LNG receiving and regasification terminals under its NGA Section 3 authority but, because “traditional regulation” is purportedly “unwieldy” the Commission should “forego imposing conditions under such authority that are typically associated with NGA Section 7, such as open access.”</w:t>
      </w:r>
      <w:r>
        <w:rPr>
          <w:rStyle w:val="FootnoteCharacters"/>
          <w:rStyle w:val="FootnoteReference"/>
        </w:rPr>
        <w:footnoteReference w:id="4"/>
      </w:r>
      <w:r>
        <w:rPr/>
        <w:t xml:space="preserve">  In this regard, the Commission currently regulates facilities operating in interstate commerce, including the imposition of open access principles to those facilities.  Many of those companies subject to the Commission’s regulations face unique operating circumstances and hurdles not faced by other regulated entities.  Those companies, however, are not excused from “traditional regulation” such as non-discriminatory access merely because compliance purportedly is difficult or unwieldy.  Moreover, selective application of rules regarding open-access principles to facilities that are subject to the Commission’s jurisdiction will cause distortions in the availability of services and costs, thereby hindering, rather than aiding, the continued expansion of a domestic LNG industry.  Thus, open access principles must be applied to a jurisdictional facility in the same manner and to the same degree as such terms and conditions are applied to all other facilities that are subject to the FERC’s jurisdiction.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Answer of Dynegy LNG Production Terminal, LP to Opposition of BP Energy Company” filed September 14, 2001, at pp. 2-3, and 8.  </w:t>
      </w:r>
    </w:p>
  </w:footnote>
  <w:footnote w:id="3">
    <w:p>
      <w:pPr>
        <w:pStyle w:val="FootnoteText"/>
        <w:rPr/>
      </w:pPr>
      <w:r>
        <w:rPr>
          <w:rStyle w:val="FootnoteCharacters"/>
        </w:rPr>
        <w:footnoteRef/>
      </w:r>
      <w:r>
        <w:rPr/>
        <w:t xml:space="preserve"> </w:t>
      </w:r>
      <w:r>
        <w:rPr/>
        <w:t>Enron LNG has no basis for knowing whether the reason for BP’s position is tied to an alleged dominant position in the world LNG market, as alleged by Dynegy LNG.  In this instance, however, BP’s motivation is not the critical element on which the Commission should render a decision.  Rather, the single issue put before the Commission by Dynegy LNG is a legal issue: whether the National Energy Policy Act of 1992 removed the Commission’s NGA jurisdiction over LNG facilities that otherwise would be jurisdictional.</w:t>
      </w:r>
    </w:p>
  </w:footnote>
  <w:footnote w:id="4">
    <w:p>
      <w:pPr>
        <w:pStyle w:val="FootnoteText"/>
        <w:rPr/>
      </w:pPr>
      <w:r>
        <w:rPr>
          <w:rStyle w:val="FootnoteCharacters"/>
        </w:rPr>
        <w:footnoteRef/>
      </w:r>
      <w:r>
        <w:rPr/>
        <w:t xml:space="preserve"> </w:t>
      </w:r>
      <w:r>
        <w:rPr/>
        <w:t>Motion to Intervene and Comments of Texaco Gas International Inc.” filed September 4, 2001, at p. 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Revised Draft 9/26/01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2001-09-27T14:10:00Z</dcterms:created>
  <dc:creator>Blaine Yamagata</dc:creator>
  <dc:description/>
  <dc:language>en-CA</dc:language>
  <cp:lastModifiedBy>Blaine Yamagata</cp:lastModifiedBy>
  <cp:lastPrinted>2001-09-27T13:11:00Z</cp:lastPrinted>
  <dcterms:modified xsi:type="dcterms:W3CDTF">2001-09-27T17:42:00Z</dcterms:modified>
  <cp:revision>4</cp:revision>
  <dc:subject/>
  <dc:title>UNITED STATES OF AMERICA</dc:title>
</cp:coreProperties>
</file>