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ind w:firstLine="720" w:end="0"/>
        <w:rPr>
          <w:rFonts w:ascii="Arial" w:hAnsi="Arial" w:cs="Arial"/>
          <w:sz w:val="24"/>
        </w:rPr>
      </w:pPr>
      <w:r>
        <w:rPr>
          <w:rFonts w:cs="Arial" w:ascii="Arial" w:hAnsi="Arial"/>
          <w:sz w:val="24"/>
        </w:rPr>
        <w:t>Enron Japan weekly update</w:t>
      </w:r>
    </w:p>
    <w:p>
      <w:pPr>
        <w:pStyle w:val="Normal"/>
        <w:rPr>
          <w:rFonts w:ascii="Arial" w:hAnsi="Arial" w:cs="Arial"/>
          <w:sz w:val="24"/>
        </w:rPr>
      </w:pPr>
      <w:r>
        <w:rPr>
          <w:rFonts w:cs="Arial" w:ascii="Arial" w:hAnsi="Arial"/>
          <w:sz w:val="24"/>
        </w:rPr>
      </w:r>
    </w:p>
    <w:p>
      <w:pPr>
        <w:pStyle w:val="Heading1"/>
        <w:ind w:hanging="0" w:start="0"/>
        <w:rPr/>
      </w:pPr>
      <w:r>
        <w:rPr/>
        <w:t>Week: May 8-12</w:t>
      </w:r>
    </w:p>
    <w:tbl>
      <w:tblPr>
        <w:tblW w:w="8856" w:type="dxa"/>
        <w:jc w:val="start"/>
        <w:tblInd w:w="0" w:type="dxa"/>
        <w:tblLayout w:type="fixed"/>
        <w:tblCellMar>
          <w:top w:w="0" w:type="dxa"/>
          <w:start w:w="108" w:type="dxa"/>
          <w:bottom w:w="0" w:type="dxa"/>
          <w:end w:w="108" w:type="dxa"/>
        </w:tblCellMar>
      </w:tblPr>
      <w:tblGrid>
        <w:gridCol w:w="2790"/>
        <w:gridCol w:w="1620"/>
        <w:gridCol w:w="18"/>
        <w:gridCol w:w="1062"/>
        <w:gridCol w:w="1980"/>
        <w:gridCol w:w="1350"/>
        <w:gridCol w:w="36"/>
      </w:tblGrid>
      <w:tr>
        <w:trPr/>
        <w:tc>
          <w:tcPr>
            <w:tcW w:w="4428" w:type="dxa"/>
            <w:gridSpan w:val="3"/>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 xml:space="preserve">Loretta Brelsford - </w:t>
            </w:r>
          </w:p>
        </w:tc>
        <w:tc>
          <w:tcPr>
            <w:tcW w:w="4428" w:type="dxa"/>
            <w:gridSpan w:val="3"/>
            <w:tcBorders>
              <w:top w:val="single" w:sz="4" w:space="0" w:color="000000"/>
              <w:start w:val="single" w:sz="4" w:space="0" w:color="000000"/>
              <w:bottom w:val="single" w:sz="4" w:space="0" w:color="000000"/>
              <w:end w:val="single" w:sz="4" w:space="0" w:color="000000"/>
            </w:tcBorders>
          </w:tcPr>
          <w:p>
            <w:pPr>
              <w:pStyle w:val="BodyText"/>
              <w:numPr>
                <w:ilvl w:val="0"/>
                <w:numId w:val="8"/>
              </w:numPr>
              <w:spacing w:before="0" w:after="240"/>
              <w:rPr>
                <w:b/>
                <w:sz w:val="24"/>
              </w:rPr>
            </w:pPr>
            <w:r>
              <w:rPr>
                <w:sz w:val="24"/>
              </w:rPr>
              <w:t>Reviewed security plan w/Joe – making adjustments. Reviewed design, finishes, and furniture selections w/Fox – final selections to be made Friday morning and ordered Monday. Structural Cabling plan submitted to Fox. Continuing Fox contract negotiations. Expect IT budget numbers by meeting time. Met with copier representatives.</w:t>
            </w:r>
          </w:p>
        </w:tc>
      </w:tr>
      <w:tr>
        <w:trPr/>
        <w:tc>
          <w:tcPr>
            <w:tcW w:w="4428" w:type="dxa"/>
            <w:gridSpan w:val="3"/>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Next Week:</w:t>
            </w:r>
          </w:p>
        </w:tc>
        <w:tc>
          <w:tcPr>
            <w:tcW w:w="4428" w:type="dxa"/>
            <w:gridSpan w:val="3"/>
            <w:tcBorders>
              <w:top w:val="single" w:sz="4" w:space="0" w:color="000000"/>
              <w:start w:val="single" w:sz="4" w:space="0" w:color="000000"/>
              <w:bottom w:val="single" w:sz="4" w:space="0" w:color="000000"/>
              <w:end w:val="single" w:sz="4" w:space="0" w:color="000000"/>
            </w:tcBorders>
          </w:tcPr>
          <w:p>
            <w:pPr>
              <w:pStyle w:val="BodyText"/>
              <w:numPr>
                <w:ilvl w:val="0"/>
                <w:numId w:val="8"/>
              </w:numPr>
              <w:spacing w:before="0" w:after="240"/>
              <w:rPr>
                <w:b/>
                <w:sz w:val="24"/>
              </w:rPr>
            </w:pPr>
            <w:r>
              <w:rPr>
                <w:sz w:val="24"/>
              </w:rPr>
              <w:t>Meeting with AMEX rep (Corporate Credit Cards and Travel Services). Finalize Notice to Proceed contract with Takanaka. Finalize UPS requirements and order equipment. Review video conferencing plan with Joe. Meet with Robert Leslie – IT contractor in Tokyo. Continue meeting with copier representatives</w:t>
            </w:r>
            <w:r>
              <w:rPr>
                <w:rFonts w:cs="Arial" w:ascii="Arial" w:hAnsi="Arial"/>
                <w:sz w:val="24"/>
              </w:rPr>
              <w:t xml:space="preserve">. </w:t>
            </w:r>
            <w:r>
              <w:rPr>
                <w:sz w:val="24"/>
              </w:rPr>
              <w:t>Establish monthly petty cash requirements</w:t>
            </w:r>
          </w:p>
        </w:tc>
      </w:tr>
      <w:tr>
        <w:trPr/>
        <w:tc>
          <w:tcPr>
            <w:tcW w:w="4428" w:type="dxa"/>
            <w:gridSpan w:val="3"/>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Susan Musch –</w:t>
            </w:r>
          </w:p>
          <w:p>
            <w:pPr>
              <w:pStyle w:val="Normal"/>
              <w:rPr>
                <w:b/>
                <w:sz w:val="28"/>
              </w:rPr>
            </w:pPr>
            <w:r>
              <w:rPr>
                <w:b/>
                <w:sz w:val="28"/>
              </w:rPr>
              <w:t>“</w:t>
            </w:r>
            <w:r>
              <w:rPr>
                <w:b/>
                <w:sz w:val="28"/>
              </w:rPr>
              <w:t>Tax”</w:t>
            </w:r>
          </w:p>
        </w:tc>
        <w:tc>
          <w:tcPr>
            <w:tcW w:w="4428" w:type="dxa"/>
            <w:gridSpan w:val="3"/>
            <w:tcBorders>
              <w:top w:val="single" w:sz="4" w:space="0" w:color="000000"/>
              <w:start w:val="single" w:sz="4" w:space="0" w:color="000000"/>
              <w:bottom w:val="single" w:sz="4" w:space="0" w:color="000000"/>
              <w:end w:val="single" w:sz="4" w:space="0" w:color="000000"/>
            </w:tcBorders>
          </w:tcPr>
          <w:p>
            <w:pPr>
              <w:pStyle w:val="BodyText"/>
              <w:numPr>
                <w:ilvl w:val="0"/>
                <w:numId w:val="8"/>
              </w:numPr>
              <w:spacing w:before="0" w:after="160"/>
              <w:jc w:val="both"/>
              <w:rPr>
                <w:b/>
                <w:sz w:val="24"/>
              </w:rPr>
            </w:pPr>
            <w:r>
              <w:rPr>
                <w:sz w:val="24"/>
              </w:rPr>
              <w:t>Entity Structuring –- Continuing work with Treasury, Legal and Accounting on the funding of the Japanese trading entities. Power Contract Documentation – Continuing to work on Japanese consumption tax issues with Michael Grimes and AA-Tokyo. Enron Online – Finalizing Japanese tax issues with Baker &amp; McKenzie to ensure that there are no adverse Japanese tax consequences for trading with Japanese customers and confirmed what tax reps the Enron offices should provide.</w:t>
            </w:r>
          </w:p>
        </w:tc>
      </w:tr>
      <w:tr>
        <w:trPr/>
        <w:tc>
          <w:tcPr>
            <w:tcW w:w="4428" w:type="dxa"/>
            <w:gridSpan w:val="3"/>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Next Week:</w:t>
            </w:r>
          </w:p>
        </w:tc>
        <w:tc>
          <w:tcPr>
            <w:tcW w:w="4428" w:type="dxa"/>
            <w:gridSpan w:val="3"/>
            <w:tcBorders>
              <w:top w:val="single" w:sz="4" w:space="0" w:color="000000"/>
              <w:start w:val="single" w:sz="4" w:space="0" w:color="000000"/>
              <w:bottom w:val="single" w:sz="4" w:space="0" w:color="000000"/>
              <w:end w:val="single" w:sz="4" w:space="0" w:color="000000"/>
            </w:tcBorders>
          </w:tcPr>
          <w:p>
            <w:pPr>
              <w:pStyle w:val="BodyText"/>
              <w:numPr>
                <w:ilvl w:val="0"/>
                <w:numId w:val="7"/>
              </w:numPr>
              <w:spacing w:before="0" w:after="120"/>
              <w:jc w:val="both"/>
              <w:rPr>
                <w:b/>
                <w:sz w:val="24"/>
              </w:rPr>
            </w:pPr>
            <w:r>
              <w:rPr>
                <w:sz w:val="24"/>
              </w:rPr>
              <w:t>Continue working on funding of the Japanese trading entities. Pursue steps to set up TK arrangements for Japanese entities</w:t>
            </w:r>
          </w:p>
        </w:tc>
      </w:tr>
      <w:tr>
        <w:trPr/>
        <w:tc>
          <w:tcPr>
            <w:tcW w:w="4428" w:type="dxa"/>
            <w:gridSpan w:val="3"/>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Carol Howes –</w:t>
            </w:r>
          </w:p>
          <w:p>
            <w:pPr>
              <w:pStyle w:val="Normal"/>
              <w:rPr>
                <w:b/>
                <w:sz w:val="28"/>
              </w:rPr>
            </w:pPr>
            <w:r>
              <w:rPr>
                <w:b/>
                <w:sz w:val="28"/>
              </w:rPr>
              <w:t>“</w:t>
            </w:r>
            <w:r>
              <w:rPr>
                <w:b/>
                <w:sz w:val="28"/>
              </w:rPr>
              <w:t>Accounting”</w:t>
            </w:r>
          </w:p>
        </w:tc>
        <w:tc>
          <w:tcPr>
            <w:tcW w:w="4428" w:type="dxa"/>
            <w:gridSpan w:val="3"/>
            <w:tcBorders>
              <w:top w:val="single" w:sz="4" w:space="0" w:color="000000"/>
              <w:start w:val="single" w:sz="4" w:space="0" w:color="000000"/>
              <w:bottom w:val="single" w:sz="4" w:space="0" w:color="000000"/>
              <w:end w:val="single" w:sz="4" w:space="0" w:color="000000"/>
            </w:tcBorders>
          </w:tcPr>
          <w:p>
            <w:pPr>
              <w:pStyle w:val="BodyText"/>
              <w:numPr>
                <w:ilvl w:val="0"/>
                <w:numId w:val="3"/>
              </w:numPr>
              <w:rPr>
                <w:sz w:val="24"/>
              </w:rPr>
            </w:pPr>
            <w:r>
              <w:rPr>
                <w:sz w:val="24"/>
              </w:rPr>
              <w:t>Met with Hirl and McDonald to review budget.  Sent copy of file to Bekeng today so that he can start reviewing/gaining familiarity with assumptions. Met with Hirl, treasury, and tax to discuss establishment of petty cash account and a working capital facility. Reviewed draft Purchase and Sale Agreement – also forwarded to Mason and Bekeng for comment. Payments made this week:</w:t>
            </w:r>
          </w:p>
          <w:p>
            <w:pPr>
              <w:pStyle w:val="Normal"/>
              <w:rPr>
                <w:b/>
                <w:sz w:val="28"/>
              </w:rPr>
            </w:pPr>
            <w:r>
              <w:rPr>
                <w:b/>
                <w:sz w:val="28"/>
              </w:rPr>
            </w:r>
          </w:p>
        </w:tc>
      </w:tr>
      <w:tr>
        <w:trPr>
          <w:trHeight w:val="262" w:hRule="atLeast"/>
        </w:trPr>
        <w:tc>
          <w:tcPr>
            <w:tcW w:w="2790" w:type="dxa"/>
            <w:tcBorders>
              <w:top w:val="single" w:sz="6" w:space="0" w:color="000000"/>
              <w:start w:val="single" w:sz="6" w:space="0" w:color="000000"/>
              <w:end w:val="single" w:sz="6" w:space="0" w:color="000000"/>
            </w:tcBorders>
            <w:tcMar>
              <w:start w:w="30" w:type="dxa"/>
              <w:end w:w="30" w:type="dxa"/>
            </w:tcMar>
          </w:tcPr>
          <w:p>
            <w:pPr>
              <w:pStyle w:val="Heading6"/>
              <w:rPr/>
            </w:pPr>
            <w:r>
              <w:rPr/>
              <w:t>Vendor</w:t>
            </w:r>
          </w:p>
        </w:tc>
        <w:tc>
          <w:tcPr>
            <w:tcW w:w="2700" w:type="dxa"/>
            <w:gridSpan w:val="3"/>
            <w:tcBorders>
              <w:top w:val="single" w:sz="6" w:space="0" w:color="000000"/>
              <w:start w:val="single" w:sz="6" w:space="0" w:color="000000"/>
              <w:end w:val="single" w:sz="6" w:space="0" w:color="000000"/>
            </w:tcBorders>
            <w:tcMar>
              <w:start w:w="30" w:type="dxa"/>
              <w:end w:w="30" w:type="dxa"/>
            </w:tcMar>
          </w:tcPr>
          <w:p>
            <w:pPr>
              <w:pStyle w:val="Normal"/>
              <w:jc w:val="center"/>
              <w:rPr>
                <w:rFonts w:ascii="Arial" w:hAnsi="Arial" w:cs="Arial"/>
                <w:b/>
                <w:color w:val="000000"/>
                <w:lang w:eastAsia="en-US"/>
              </w:rPr>
            </w:pPr>
            <w:r>
              <w:rPr>
                <w:rFonts w:cs="Arial" w:ascii="Arial" w:hAnsi="Arial"/>
                <w:b/>
                <w:color w:val="000000"/>
                <w:lang w:eastAsia="en-US"/>
              </w:rPr>
              <w:t>Description</w:t>
            </w:r>
          </w:p>
        </w:tc>
        <w:tc>
          <w:tcPr>
            <w:tcW w:w="1980" w:type="dxa"/>
            <w:tcBorders>
              <w:top w:val="single" w:sz="6" w:space="0" w:color="000000"/>
              <w:start w:val="single" w:sz="6" w:space="0" w:color="000000"/>
              <w:end w:val="single" w:sz="6" w:space="0" w:color="000000"/>
            </w:tcBorders>
            <w:tcMar>
              <w:start w:w="30" w:type="dxa"/>
              <w:end w:w="30" w:type="dxa"/>
            </w:tcMar>
          </w:tcPr>
          <w:p>
            <w:pPr>
              <w:pStyle w:val="Normal"/>
              <w:jc w:val="center"/>
              <w:rPr>
                <w:rFonts w:ascii="Arial" w:hAnsi="Arial" w:cs="Arial"/>
                <w:b/>
                <w:color w:val="000000"/>
                <w:lang w:eastAsia="en-US"/>
              </w:rPr>
            </w:pPr>
            <w:r>
              <w:rPr>
                <w:rFonts w:cs="Arial" w:ascii="Arial" w:hAnsi="Arial"/>
                <w:b/>
                <w:color w:val="000000"/>
                <w:lang w:eastAsia="en-US"/>
              </w:rPr>
              <w:t>JPY</w:t>
            </w:r>
          </w:p>
        </w:tc>
        <w:tc>
          <w:tcPr>
            <w:tcW w:w="1350" w:type="dxa"/>
            <w:tcBorders>
              <w:top w:val="single" w:sz="6" w:space="0" w:color="000000"/>
              <w:start w:val="single" w:sz="6" w:space="0" w:color="000000"/>
              <w:end w:val="single" w:sz="6" w:space="0" w:color="000000"/>
            </w:tcBorders>
            <w:tcMar>
              <w:start w:w="30" w:type="dxa"/>
              <w:end w:w="30" w:type="dxa"/>
            </w:tcMar>
          </w:tcPr>
          <w:p>
            <w:pPr>
              <w:pStyle w:val="Normal"/>
              <w:jc w:val="center"/>
              <w:rPr>
                <w:rFonts w:ascii="Arial" w:hAnsi="Arial" w:cs="Arial"/>
                <w:b/>
                <w:color w:val="000000"/>
                <w:lang w:eastAsia="en-US"/>
              </w:rPr>
            </w:pPr>
            <w:r>
              <w:rPr>
                <w:rFonts w:cs="Arial" w:ascii="Arial" w:hAnsi="Arial"/>
                <w:b/>
                <w:color w:val="000000"/>
                <w:lang w:eastAsia="en-US"/>
              </w:rPr>
              <w:t>USD</w:t>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ind w:end="214"/>
              <w:rPr>
                <w:rFonts w:ascii="Arial" w:hAnsi="Arial" w:cs="Arial"/>
                <w:color w:val="000000"/>
                <w:lang w:eastAsia="en-US"/>
              </w:rPr>
            </w:pPr>
            <w:r>
              <w:rPr>
                <w:rFonts w:cs="Arial" w:ascii="Arial" w:hAnsi="Arial"/>
                <w:color w:val="000000"/>
                <w:lang w:eastAsia="en-US"/>
              </w:rPr>
              <w:t>Sobunsha</w:t>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color w:val="000000"/>
                <w:lang w:eastAsia="en-US"/>
              </w:rPr>
            </w:pPr>
            <w:r>
              <w:rPr>
                <w:rFonts w:cs="Arial" w:ascii="Arial" w:hAnsi="Arial"/>
                <w:color w:val="000000"/>
                <w:lang w:eastAsia="en-US"/>
              </w:rPr>
              <w:t>Letterheads</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color w:val="000000"/>
                <w:lang w:eastAsia="en-US"/>
              </w:rPr>
            </w:pPr>
            <w:r>
              <w:rPr>
                <w:rFonts w:cs="Arial" w:ascii="Arial" w:hAnsi="Arial"/>
                <w:color w:val="000000"/>
                <w:lang w:eastAsia="en-US"/>
              </w:rPr>
              <w:t xml:space="preserve">66,150.00 </w:t>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ind w:end="214"/>
              <w:rPr>
                <w:rFonts w:ascii="Arial" w:hAnsi="Arial" w:cs="Arial"/>
                <w:color w:val="000000"/>
                <w:lang w:eastAsia="en-US"/>
              </w:rPr>
            </w:pPr>
            <w:r>
              <w:rPr>
                <w:rFonts w:cs="Arial" w:ascii="Arial" w:hAnsi="Arial"/>
                <w:color w:val="000000"/>
                <w:lang w:eastAsia="en-US"/>
              </w:rPr>
              <w:t>Translation Center</w:t>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color w:val="000000"/>
                <w:lang w:eastAsia="en-US"/>
              </w:rPr>
            </w:pPr>
            <w:r>
              <w:rPr>
                <w:rFonts w:cs="Arial" w:ascii="Arial" w:hAnsi="Arial"/>
                <w:color w:val="000000"/>
                <w:lang w:eastAsia="en-US"/>
              </w:rPr>
              <w:t>Translation Service</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color w:val="000000"/>
                <w:lang w:eastAsia="en-US"/>
              </w:rPr>
            </w:pPr>
            <w:r>
              <w:rPr>
                <w:rFonts w:cs="Arial" w:ascii="Arial" w:hAnsi="Arial"/>
                <w:color w:val="000000"/>
                <w:lang w:eastAsia="en-US"/>
              </w:rPr>
              <w:t xml:space="preserve">352,799.00 </w:t>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ind w:end="214"/>
              <w:rPr>
                <w:rFonts w:ascii="Arial" w:hAnsi="Arial" w:cs="Arial"/>
                <w:color w:val="000000"/>
                <w:lang w:eastAsia="en-US"/>
              </w:rPr>
            </w:pPr>
            <w:r>
              <w:rPr>
                <w:rFonts w:cs="Arial" w:ascii="Arial" w:hAnsi="Arial"/>
                <w:color w:val="000000"/>
                <w:lang w:eastAsia="en-US"/>
              </w:rPr>
              <w:t>Govt. Publications Service Center</w:t>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color w:val="000000"/>
                <w:lang w:eastAsia="en-US"/>
              </w:rPr>
            </w:pPr>
            <w:r>
              <w:rPr>
                <w:rFonts w:cs="Arial" w:ascii="Arial" w:hAnsi="Arial"/>
                <w:color w:val="000000"/>
                <w:lang w:eastAsia="en-US"/>
              </w:rPr>
              <w:t>Copies of Security Reports</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color w:val="000000"/>
                <w:lang w:eastAsia="en-US"/>
              </w:rPr>
            </w:pPr>
            <w:r>
              <w:rPr>
                <w:rFonts w:cs="Arial" w:ascii="Arial" w:hAnsi="Arial"/>
                <w:color w:val="000000"/>
                <w:lang w:eastAsia="en-US"/>
              </w:rPr>
              <w:t xml:space="preserve">31,584.00 </w:t>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ind w:end="214"/>
              <w:rPr>
                <w:rFonts w:ascii="Arial" w:hAnsi="Arial" w:cs="Arial"/>
                <w:color w:val="000000"/>
                <w:lang w:eastAsia="en-US"/>
              </w:rPr>
            </w:pPr>
            <w:r>
              <w:rPr>
                <w:rFonts w:cs="Arial" w:ascii="Arial" w:hAnsi="Arial"/>
                <w:color w:val="000000"/>
                <w:lang w:eastAsia="en-US"/>
              </w:rPr>
              <w:t>Ken Corporation</w:t>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color w:val="000000"/>
                <w:lang w:eastAsia="en-US"/>
              </w:rPr>
            </w:pPr>
            <w:r>
              <w:rPr>
                <w:rFonts w:cs="Arial" w:ascii="Arial" w:hAnsi="Arial"/>
                <w:color w:val="000000"/>
                <w:lang w:eastAsia="en-US"/>
              </w:rPr>
              <w:t>Agency Fee on Leases</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color w:val="000000"/>
                <w:lang w:eastAsia="en-US"/>
              </w:rPr>
            </w:pPr>
            <w:r>
              <w:rPr>
                <w:rFonts w:cs="Arial" w:ascii="Arial" w:hAnsi="Arial"/>
                <w:color w:val="000000"/>
                <w:lang w:eastAsia="en-US"/>
              </w:rPr>
              <w:t xml:space="preserve">5,381,250.00 </w:t>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ind w:end="214"/>
              <w:rPr>
                <w:rFonts w:ascii="Arial" w:hAnsi="Arial" w:cs="Arial"/>
                <w:color w:val="000000"/>
                <w:lang w:eastAsia="en-US"/>
              </w:rPr>
            </w:pPr>
            <w:r>
              <w:rPr>
                <w:rFonts w:cs="Arial" w:ascii="Arial" w:hAnsi="Arial"/>
                <w:color w:val="000000"/>
                <w:lang w:eastAsia="en-US"/>
              </w:rPr>
              <w:t>Houken Limited</w:t>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color w:val="000000"/>
                <w:lang w:eastAsia="en-US"/>
              </w:rPr>
            </w:pPr>
            <w:r>
              <w:rPr>
                <w:rFonts w:cs="Arial" w:ascii="Arial" w:hAnsi="Arial"/>
                <w:color w:val="000000"/>
                <w:lang w:eastAsia="en-US"/>
              </w:rPr>
              <w:t>Deposit for Leases</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color w:val="000000"/>
                <w:lang w:eastAsia="en-US"/>
              </w:rPr>
            </w:pPr>
            <w:r>
              <w:rPr>
                <w:rFonts w:cs="Arial" w:ascii="Arial" w:hAnsi="Arial"/>
                <w:color w:val="000000"/>
                <w:lang w:eastAsia="en-US"/>
              </w:rPr>
              <w:t xml:space="preserve">20,500,000.00 </w:t>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ind w:end="214"/>
              <w:rPr>
                <w:rFonts w:ascii="Arial" w:hAnsi="Arial" w:cs="Arial"/>
                <w:color w:val="000000"/>
                <w:lang w:eastAsia="en-US"/>
              </w:rPr>
            </w:pPr>
            <w:r>
              <w:rPr>
                <w:rFonts w:cs="Arial" w:ascii="Arial" w:hAnsi="Arial"/>
                <w:color w:val="000000"/>
                <w:lang w:eastAsia="en-US"/>
              </w:rPr>
              <w:t>Houken Limited</w:t>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color w:val="000000"/>
                <w:lang w:eastAsia="en-US"/>
              </w:rPr>
            </w:pPr>
            <w:r>
              <w:rPr>
                <w:rFonts w:cs="Arial" w:ascii="Arial" w:hAnsi="Arial"/>
                <w:color w:val="000000"/>
                <w:lang w:eastAsia="en-US"/>
              </w:rPr>
              <w:t>May Rent</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color w:val="000000"/>
                <w:lang w:eastAsia="en-US"/>
              </w:rPr>
            </w:pPr>
            <w:r>
              <w:rPr>
                <w:rFonts w:cs="Arial" w:ascii="Arial" w:hAnsi="Arial"/>
                <w:color w:val="000000"/>
                <w:lang w:eastAsia="en-US"/>
              </w:rPr>
              <w:t xml:space="preserve">2,479,839.00 </w:t>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ind w:end="214"/>
              <w:rPr>
                <w:rFonts w:ascii="Arial" w:hAnsi="Arial" w:cs="Arial"/>
                <w:color w:val="000000"/>
                <w:lang w:eastAsia="en-US"/>
              </w:rPr>
            </w:pPr>
            <w:r>
              <w:rPr>
                <w:rFonts w:cs="Arial" w:ascii="Arial" w:hAnsi="Arial"/>
                <w:color w:val="000000"/>
                <w:lang w:eastAsia="en-US"/>
              </w:rPr>
              <w:t>Ken Corporation</w:t>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color w:val="000000"/>
                <w:lang w:eastAsia="en-US"/>
              </w:rPr>
            </w:pPr>
            <w:r>
              <w:rPr>
                <w:rFonts w:cs="Arial" w:ascii="Arial" w:hAnsi="Arial"/>
                <w:color w:val="000000"/>
                <w:lang w:eastAsia="en-US"/>
              </w:rPr>
              <w:t>Agency Fee on Leases II</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color w:val="000000"/>
                <w:lang w:eastAsia="en-US"/>
              </w:rPr>
            </w:pPr>
            <w:r>
              <w:rPr>
                <w:rFonts w:cs="Arial" w:ascii="Arial" w:hAnsi="Arial"/>
                <w:color w:val="000000"/>
                <w:lang w:eastAsia="en-US"/>
              </w:rPr>
              <w:t xml:space="preserve">687,750.00 </w:t>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ind w:end="214"/>
              <w:rPr>
                <w:rFonts w:ascii="Arial" w:hAnsi="Arial" w:cs="Arial"/>
                <w:color w:val="000000"/>
                <w:lang w:eastAsia="en-US"/>
              </w:rPr>
            </w:pPr>
            <w:r>
              <w:rPr>
                <w:rFonts w:cs="Arial" w:ascii="Arial" w:hAnsi="Arial"/>
                <w:color w:val="000000"/>
                <w:lang w:eastAsia="en-US"/>
              </w:rPr>
              <w:t>Mitsui Fudosan Jutaku Lease Co.</w:t>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color w:val="000000"/>
                <w:lang w:eastAsia="en-US"/>
              </w:rPr>
            </w:pPr>
            <w:r>
              <w:rPr>
                <w:rFonts w:cs="Arial" w:ascii="Arial" w:hAnsi="Arial"/>
                <w:color w:val="000000"/>
                <w:lang w:eastAsia="en-US"/>
              </w:rPr>
              <w:t>May Rent II</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color w:val="000000"/>
                <w:lang w:eastAsia="en-US"/>
              </w:rPr>
            </w:pPr>
            <w:r>
              <w:rPr>
                <w:rFonts w:cs="Arial" w:ascii="Arial" w:hAnsi="Arial"/>
                <w:color w:val="000000"/>
                <w:lang w:eastAsia="en-US"/>
              </w:rPr>
              <w:t xml:space="preserve">358,100.00 </w:t>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ind w:end="214"/>
              <w:rPr>
                <w:rFonts w:ascii="Arial" w:hAnsi="Arial" w:cs="Arial"/>
                <w:color w:val="000000"/>
                <w:lang w:eastAsia="en-US"/>
              </w:rPr>
            </w:pPr>
            <w:r>
              <w:rPr>
                <w:rFonts w:cs="Arial" w:ascii="Arial" w:hAnsi="Arial"/>
                <w:color w:val="000000"/>
                <w:lang w:eastAsia="en-US"/>
              </w:rPr>
              <w:t>Mitsui Fudosan Jutaku Lease Co.</w:t>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color w:val="000000"/>
                <w:lang w:eastAsia="en-US"/>
              </w:rPr>
            </w:pPr>
            <w:r>
              <w:rPr>
                <w:rFonts w:cs="Arial" w:ascii="Arial" w:hAnsi="Arial"/>
                <w:color w:val="000000"/>
                <w:lang w:eastAsia="en-US"/>
              </w:rPr>
              <w:t>Deposit for Leases II</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color w:val="000000"/>
                <w:lang w:eastAsia="en-US"/>
              </w:rPr>
            </w:pPr>
            <w:r>
              <w:rPr>
                <w:rFonts w:cs="Arial" w:ascii="Arial" w:hAnsi="Arial"/>
                <w:color w:val="000000"/>
                <w:lang w:eastAsia="en-US"/>
              </w:rPr>
              <w:t xml:space="preserve">3,930,000.00 </w:t>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ind w:end="214"/>
              <w:jc w:val="end"/>
              <w:rPr>
                <w:rFonts w:ascii="Arial" w:hAnsi="Arial" w:cs="Arial"/>
                <w:color w:val="000000"/>
                <w:lang w:eastAsia="en-US"/>
              </w:rPr>
            </w:pPr>
            <w:r>
              <w:rPr>
                <w:rFonts w:cs="Arial" w:ascii="Arial" w:hAnsi="Arial"/>
                <w:color w:val="000000"/>
                <w:lang w:eastAsia="en-US"/>
              </w:rPr>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b/>
                <w:color w:val="000000"/>
                <w:lang w:eastAsia="en-US"/>
              </w:rPr>
            </w:pPr>
            <w:r>
              <w:rPr>
                <w:rFonts w:cs="Arial" w:ascii="Arial" w:hAnsi="Arial"/>
                <w:b/>
                <w:color w:val="000000"/>
                <w:lang w:eastAsia="en-US"/>
              </w:rPr>
              <w:t>Total Yen</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b/>
                <w:color w:val="000000"/>
                <w:lang w:eastAsia="en-US"/>
              </w:rPr>
            </w:pPr>
            <w:r>
              <w:rPr>
                <w:rFonts w:cs="Arial" w:ascii="Arial" w:hAnsi="Arial"/>
                <w:b/>
                <w:color w:val="000000"/>
                <w:lang w:eastAsia="en-US"/>
              </w:rPr>
              <w:t xml:space="preserve">JPY 33,787,472.00 </w:t>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ind w:end="214"/>
              <w:jc w:val="end"/>
              <w:rPr>
                <w:rFonts w:ascii="Arial" w:hAnsi="Arial" w:cs="Arial"/>
                <w:color w:val="000000"/>
                <w:lang w:eastAsia="en-US"/>
              </w:rPr>
            </w:pPr>
            <w:r>
              <w:rPr>
                <w:rFonts w:cs="Arial" w:ascii="Arial" w:hAnsi="Arial"/>
                <w:color w:val="000000"/>
                <w:lang w:eastAsia="en-US"/>
              </w:rPr>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ind w:end="214"/>
              <w:rPr>
                <w:rFonts w:ascii="Arial" w:hAnsi="Arial" w:cs="Arial"/>
                <w:color w:val="000000"/>
                <w:lang w:eastAsia="en-US"/>
              </w:rPr>
            </w:pPr>
            <w:r>
              <w:rPr>
                <w:rFonts w:cs="Arial" w:ascii="Arial" w:hAnsi="Arial"/>
                <w:color w:val="000000"/>
                <w:lang w:eastAsia="en-US"/>
              </w:rPr>
              <w:t>The Japanese Partnership Co. Ltd.</w:t>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color w:val="000000"/>
                <w:lang w:eastAsia="en-US"/>
              </w:rPr>
            </w:pPr>
            <w:r>
              <w:rPr>
                <w:rFonts w:cs="Arial" w:ascii="Arial" w:hAnsi="Arial"/>
                <w:color w:val="000000"/>
                <w:lang w:eastAsia="en-US"/>
              </w:rPr>
              <w:t>ESS for Director, Govt. Affairs</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color w:val="000000"/>
                <w:lang w:eastAsia="en-US"/>
              </w:rPr>
            </w:pPr>
            <w:r>
              <w:rPr>
                <w:rFonts w:cs="Arial" w:ascii="Arial" w:hAnsi="Arial"/>
                <w:color w:val="000000"/>
                <w:lang w:eastAsia="en-US"/>
              </w:rPr>
              <w:t xml:space="preserve">28,050.00 </w:t>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ind w:end="214"/>
              <w:rPr>
                <w:rFonts w:ascii="Arial" w:hAnsi="Arial" w:cs="Arial"/>
                <w:color w:val="000000"/>
                <w:lang w:eastAsia="en-US"/>
              </w:rPr>
            </w:pPr>
            <w:r>
              <w:rPr>
                <w:rFonts w:cs="Arial" w:ascii="Arial" w:hAnsi="Arial"/>
                <w:color w:val="000000"/>
                <w:lang w:eastAsia="en-US"/>
              </w:rPr>
              <w:t>Bean International Ltd.</w:t>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color w:val="000000"/>
                <w:lang w:eastAsia="en-US"/>
              </w:rPr>
            </w:pPr>
            <w:r>
              <w:rPr>
                <w:rFonts w:cs="Arial" w:ascii="Arial" w:hAnsi="Arial"/>
                <w:color w:val="000000"/>
                <w:lang w:eastAsia="en-US"/>
              </w:rPr>
              <w:t>ESS for Director, Originations</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color w:val="000000"/>
                <w:lang w:eastAsia="en-US"/>
              </w:rPr>
            </w:pPr>
            <w:r>
              <w:rPr>
                <w:rFonts w:cs="Arial" w:ascii="Arial" w:hAnsi="Arial"/>
                <w:color w:val="000000"/>
                <w:lang w:eastAsia="en-US"/>
              </w:rPr>
              <w:t xml:space="preserve">84,000.00 </w:t>
            </w:r>
          </w:p>
        </w:tc>
      </w:tr>
      <w:tr>
        <w:trPr>
          <w:trHeight w:val="262" w:hRule="atLeast"/>
        </w:trPr>
        <w:tc>
          <w:tcPr>
            <w:tcW w:w="279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ind w:end="214"/>
              <w:jc w:val="end"/>
              <w:rPr>
                <w:rFonts w:ascii="Arial" w:hAnsi="Arial" w:cs="Arial"/>
                <w:color w:val="000000"/>
                <w:lang w:eastAsia="en-US"/>
              </w:rPr>
            </w:pPr>
            <w:r>
              <w:rPr>
                <w:rFonts w:cs="Arial" w:ascii="Arial" w:hAnsi="Arial"/>
                <w:color w:val="000000"/>
                <w:lang w:eastAsia="en-US"/>
              </w:rPr>
            </w:r>
          </w:p>
        </w:tc>
        <w:tc>
          <w:tcPr>
            <w:tcW w:w="2700" w:type="dxa"/>
            <w:gridSpan w:val="3"/>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rFonts w:ascii="Arial" w:hAnsi="Arial" w:cs="Arial"/>
                <w:b/>
                <w:color w:val="000000"/>
                <w:lang w:eastAsia="en-US"/>
              </w:rPr>
            </w:pPr>
            <w:r>
              <w:rPr>
                <w:rFonts w:cs="Arial" w:ascii="Arial" w:hAnsi="Arial"/>
                <w:b/>
                <w:color w:val="000000"/>
                <w:lang w:eastAsia="en-US"/>
              </w:rPr>
              <w:t>Total USD</w:t>
            </w:r>
          </w:p>
        </w:tc>
        <w:tc>
          <w:tcPr>
            <w:tcW w:w="198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35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jc w:val="end"/>
              <w:rPr>
                <w:rFonts w:ascii="Arial" w:hAnsi="Arial" w:cs="Arial"/>
                <w:b/>
                <w:color w:val="000000"/>
                <w:lang w:eastAsia="en-US"/>
              </w:rPr>
            </w:pPr>
            <w:r>
              <w:rPr>
                <w:rFonts w:cs="Arial" w:ascii="Arial" w:hAnsi="Arial"/>
                <w:b/>
                <w:color w:val="000000"/>
                <w:lang w:eastAsia="en-US"/>
              </w:rPr>
              <w:t xml:space="preserve">$112,050.00 </w:t>
            </w:r>
          </w:p>
        </w:tc>
      </w:tr>
      <w:tr>
        <w:trPr>
          <w:trHeight w:val="262" w:hRule="atLeast"/>
        </w:trPr>
        <w:tc>
          <w:tcPr>
            <w:tcW w:w="4410" w:type="dxa"/>
            <w:gridSpan w:val="2"/>
            <w:tcBorders>
              <w:start w:val="single" w:sz="4" w:space="0" w:color="000000"/>
              <w:bottom w:val="single" w:sz="4" w:space="0" w:color="000000"/>
              <w:end w:val="single" w:sz="6" w:space="0" w:color="000000"/>
            </w:tcBorders>
            <w:tcMar>
              <w:start w:w="30" w:type="dxa"/>
              <w:end w:w="30" w:type="dxa"/>
            </w:tcMar>
          </w:tcPr>
          <w:p>
            <w:pPr>
              <w:pStyle w:val="Normal"/>
              <w:rPr>
                <w:b/>
                <w:color w:val="000000"/>
                <w:sz w:val="28"/>
                <w:lang w:eastAsia="en-US"/>
              </w:rPr>
            </w:pPr>
            <w:r>
              <w:rPr>
                <w:b/>
                <w:color w:val="000000"/>
                <w:sz w:val="28"/>
                <w:lang w:eastAsia="en-US"/>
              </w:rPr>
              <w:t>Next Week:</w:t>
            </w:r>
          </w:p>
        </w:tc>
        <w:tc>
          <w:tcPr>
            <w:tcW w:w="4410" w:type="dxa"/>
            <w:gridSpan w:val="4"/>
            <w:tcBorders>
              <w:start w:val="single" w:sz="6" w:space="0" w:color="000000"/>
              <w:bottom w:val="single" w:sz="4" w:space="0" w:color="000000"/>
              <w:end w:val="single" w:sz="4" w:space="0" w:color="000000"/>
            </w:tcBorders>
            <w:tcMar>
              <w:start w:w="30" w:type="dxa"/>
              <w:end w:w="30" w:type="dxa"/>
            </w:tcMar>
          </w:tcPr>
          <w:p>
            <w:pPr>
              <w:pStyle w:val="BodyText"/>
              <w:numPr>
                <w:ilvl w:val="0"/>
                <w:numId w:val="5"/>
              </w:numPr>
              <w:rPr>
                <w:sz w:val="24"/>
              </w:rPr>
            </w:pPr>
            <w:r>
              <w:rPr>
                <w:sz w:val="24"/>
              </w:rPr>
              <w:t>Meeting with Sally Beck and Arthur Andersen scheduled for last Monday was cancelled – expect to reschedule next week. Meeting with Houston IT and treasury scheduled for Friday to discuss accounting/treasury systems</w:t>
            </w:r>
          </w:p>
          <w:p>
            <w:pPr>
              <w:pStyle w:val="Normal"/>
              <w:jc w:val="end"/>
              <w:rPr>
                <w:rFonts w:ascii="Arial" w:hAnsi="Arial" w:cs="Arial"/>
                <w:b/>
                <w:color w:val="000000"/>
                <w:sz w:val="24"/>
                <w:lang w:eastAsia="en-US"/>
              </w:rPr>
            </w:pPr>
            <w:r>
              <w:rPr>
                <w:rFonts w:cs="Arial" w:ascii="Arial" w:hAnsi="Arial"/>
                <w:b/>
                <w:color w:val="000000"/>
                <w:sz w:val="24"/>
                <w:lang w:eastAsia="en-US"/>
              </w:rPr>
            </w:r>
          </w:p>
        </w:tc>
      </w:tr>
      <w:tr>
        <w:trPr>
          <w:trHeight w:val="262" w:hRule="atLeast"/>
        </w:trPr>
        <w:tc>
          <w:tcPr>
            <w:tcW w:w="4410" w:type="dxa"/>
            <w:gridSpan w:val="2"/>
            <w:tcBorders>
              <w:top w:val="single" w:sz="4" w:space="0" w:color="000000"/>
              <w:start w:val="single" w:sz="4" w:space="0" w:color="000000"/>
              <w:bottom w:val="single" w:sz="4" w:space="0" w:color="000000"/>
              <w:end w:val="single" w:sz="6" w:space="0" w:color="000000"/>
            </w:tcBorders>
            <w:tcMar>
              <w:start w:w="30" w:type="dxa"/>
              <w:end w:w="30" w:type="dxa"/>
            </w:tcMar>
          </w:tcPr>
          <w:p>
            <w:pPr>
              <w:pStyle w:val="Normal"/>
              <w:rPr>
                <w:b/>
                <w:color w:val="000000"/>
                <w:sz w:val="28"/>
                <w:lang w:eastAsia="en-US"/>
              </w:rPr>
            </w:pPr>
            <w:r>
              <w:rPr>
                <w:b/>
                <w:color w:val="000000"/>
                <w:sz w:val="28"/>
                <w:lang w:eastAsia="en-US"/>
              </w:rPr>
              <w:t>John Ambler-</w:t>
            </w:r>
          </w:p>
          <w:p>
            <w:pPr>
              <w:pStyle w:val="Normal"/>
              <w:rPr>
                <w:b/>
                <w:color w:val="000000"/>
                <w:sz w:val="28"/>
                <w:lang w:eastAsia="en-US"/>
              </w:rPr>
            </w:pPr>
            <w:r>
              <w:rPr>
                <w:b/>
                <w:color w:val="000000"/>
                <w:sz w:val="28"/>
                <w:lang w:eastAsia="en-US"/>
              </w:rPr>
              <w:t>“</w:t>
            </w:r>
            <w:r>
              <w:rPr>
                <w:b/>
                <w:color w:val="000000"/>
                <w:sz w:val="28"/>
                <w:lang w:eastAsia="en-US"/>
              </w:rPr>
              <w:t>Public Relations”</w:t>
            </w:r>
          </w:p>
        </w:tc>
        <w:tc>
          <w:tcPr>
            <w:tcW w:w="4410" w:type="dxa"/>
            <w:gridSpan w:val="4"/>
            <w:tcBorders>
              <w:top w:val="single" w:sz="4" w:space="0" w:color="000000"/>
              <w:start w:val="single" w:sz="6" w:space="0" w:color="000000"/>
              <w:bottom w:val="single" w:sz="4" w:space="0" w:color="000000"/>
              <w:end w:val="single" w:sz="4" w:space="0" w:color="000000"/>
            </w:tcBorders>
            <w:tcMar>
              <w:start w:w="30" w:type="dxa"/>
              <w:end w:w="30" w:type="dxa"/>
            </w:tcMar>
          </w:tcPr>
          <w:p>
            <w:pPr>
              <w:pStyle w:val="BodyText"/>
              <w:numPr>
                <w:ilvl w:val="0"/>
                <w:numId w:val="6"/>
              </w:numPr>
              <w:spacing w:before="0" w:after="240"/>
              <w:rPr>
                <w:sz w:val="24"/>
              </w:rPr>
            </w:pPr>
            <w:r>
              <w:rPr>
                <w:sz w:val="24"/>
              </w:rPr>
              <w:t xml:space="preserve">Enron Japan press release being distributed to media May 12.  Rebecca McDonald e-commerce/energy speech at APEC meeting May 11 was successful and MITI Vice Minister Arai personally requested copy of remarks. Nikkei phone interview with Louise Kitchen on May 9. </w:t>
            </w:r>
          </w:p>
        </w:tc>
      </w:tr>
      <w:tr>
        <w:trPr>
          <w:trHeight w:val="262" w:hRule="atLeast"/>
        </w:trPr>
        <w:tc>
          <w:tcPr>
            <w:tcW w:w="4410" w:type="dxa"/>
            <w:gridSpan w:val="2"/>
            <w:tcBorders>
              <w:top w:val="single" w:sz="4" w:space="0" w:color="000000"/>
              <w:start w:val="single" w:sz="4" w:space="0" w:color="000000"/>
              <w:bottom w:val="single" w:sz="4" w:space="0" w:color="000000"/>
              <w:end w:val="single" w:sz="6" w:space="0" w:color="000000"/>
            </w:tcBorders>
            <w:tcMar>
              <w:start w:w="30" w:type="dxa"/>
              <w:end w:w="30" w:type="dxa"/>
            </w:tcMar>
          </w:tcPr>
          <w:p>
            <w:pPr>
              <w:pStyle w:val="Normal"/>
              <w:rPr>
                <w:b/>
                <w:color w:val="000000"/>
                <w:sz w:val="28"/>
                <w:lang w:eastAsia="en-US"/>
              </w:rPr>
            </w:pPr>
            <w:r>
              <w:rPr>
                <w:b/>
                <w:color w:val="000000"/>
                <w:sz w:val="28"/>
                <w:lang w:eastAsia="en-US"/>
              </w:rPr>
              <w:t>Next Week:</w:t>
            </w:r>
          </w:p>
        </w:tc>
        <w:tc>
          <w:tcPr>
            <w:tcW w:w="4410" w:type="dxa"/>
            <w:gridSpan w:val="4"/>
            <w:tcBorders>
              <w:top w:val="single" w:sz="4" w:space="0" w:color="000000"/>
              <w:start w:val="single" w:sz="6" w:space="0" w:color="000000"/>
              <w:bottom w:val="single" w:sz="4" w:space="0" w:color="000000"/>
              <w:end w:val="single" w:sz="4" w:space="0" w:color="000000"/>
            </w:tcBorders>
            <w:tcMar>
              <w:start w:w="30" w:type="dxa"/>
              <w:end w:w="30" w:type="dxa"/>
            </w:tcMar>
          </w:tcPr>
          <w:p>
            <w:pPr>
              <w:pStyle w:val="BodyText"/>
              <w:numPr>
                <w:ilvl w:val="0"/>
                <w:numId w:val="2"/>
              </w:numPr>
              <w:spacing w:before="0" w:after="240"/>
              <w:rPr>
                <w:sz w:val="24"/>
              </w:rPr>
            </w:pPr>
            <w:r>
              <w:rPr>
                <w:sz w:val="24"/>
              </w:rPr>
              <w:t>Tentative interview with PR candidate May 16. Tokyo Broadcasting System interview with Hirl and Awano (May 16 at noon?). Scheduling EOL interviews/demonstrations with Asahi Shimbun, Yomiuri Shimbun, Kyodo wire, Denki Shimbun, Asian Wall Street Journal and Energy Forum on May 17 and 18. Update Q&amp;As. Handle media inquiries. Anthony Dayao speaking at May 15 Tokyo APEC conference.  Control press interference at conference.</w:t>
            </w:r>
          </w:p>
        </w:tc>
      </w:tr>
      <w:tr>
        <w:trPr>
          <w:trHeight w:val="262" w:hRule="atLeast"/>
        </w:trPr>
        <w:tc>
          <w:tcPr>
            <w:tcW w:w="4410" w:type="dxa"/>
            <w:gridSpan w:val="2"/>
            <w:tcBorders>
              <w:top w:val="single" w:sz="4" w:space="0" w:color="000000"/>
              <w:start w:val="single" w:sz="4" w:space="0" w:color="000000"/>
              <w:bottom w:val="single" w:sz="4" w:space="0" w:color="000000"/>
              <w:end w:val="single" w:sz="6" w:space="0" w:color="000000"/>
            </w:tcBorders>
            <w:tcMar>
              <w:start w:w="30" w:type="dxa"/>
              <w:end w:w="30" w:type="dxa"/>
            </w:tcMar>
          </w:tcPr>
          <w:p>
            <w:pPr>
              <w:pStyle w:val="Normal"/>
              <w:rPr>
                <w:b/>
                <w:color w:val="000000"/>
                <w:sz w:val="28"/>
                <w:lang w:eastAsia="en-US"/>
              </w:rPr>
            </w:pPr>
            <w:r>
              <w:rPr>
                <w:b/>
                <w:color w:val="000000"/>
                <w:sz w:val="28"/>
                <w:lang w:eastAsia="en-US"/>
              </w:rPr>
              <w:t xml:space="preserve">Outstanding Issues - </w:t>
            </w:r>
          </w:p>
        </w:tc>
        <w:tc>
          <w:tcPr>
            <w:tcW w:w="4410" w:type="dxa"/>
            <w:gridSpan w:val="4"/>
            <w:tcBorders>
              <w:top w:val="single" w:sz="4" w:space="0" w:color="000000"/>
              <w:start w:val="single" w:sz="6" w:space="0" w:color="000000"/>
              <w:bottom w:val="single" w:sz="4" w:space="0" w:color="000000"/>
              <w:end w:val="single" w:sz="4" w:space="0" w:color="000000"/>
            </w:tcBorders>
            <w:tcMar>
              <w:start w:w="30" w:type="dxa"/>
              <w:end w:w="30" w:type="dxa"/>
            </w:tcMar>
          </w:tcPr>
          <w:p>
            <w:pPr>
              <w:pStyle w:val="BodyText"/>
              <w:numPr>
                <w:ilvl w:val="0"/>
                <w:numId w:val="4"/>
              </w:numPr>
              <w:spacing w:before="0" w:after="240"/>
              <w:rPr>
                <w:sz w:val="24"/>
              </w:rPr>
            </w:pPr>
            <w:r>
              <w:rPr>
                <w:sz w:val="24"/>
              </w:rPr>
              <w:t>Story and ad in Nikkei Business. Ad in Asian Wall Street Journal. Advise MITI of Dayoa speech?</w:t>
            </w:r>
          </w:p>
        </w:tc>
      </w:tr>
    </w:tbl>
    <w:p>
      <w:pPr>
        <w:pStyle w:val="Normal"/>
        <w:rPr>
          <w:b/>
          <w:sz w:val="28"/>
        </w:rPr>
      </w:pPr>
      <w:r>
        <w:rPr>
          <w:b/>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6">
    <w:name w:val="heading 6"/>
    <w:basedOn w:val="Normal"/>
    <w:next w:val="Normal"/>
    <w:qFormat/>
    <w:pPr>
      <w:keepNext w:val="true"/>
      <w:numPr>
        <w:ilvl w:val="5"/>
        <w:numId w:val="1"/>
      </w:numPr>
      <w:ind w:hanging="0" w:start="0" w:end="214"/>
      <w:jc w:val="center"/>
      <w:outlineLvl w:val="5"/>
    </w:pPr>
    <w:rPr>
      <w:rFonts w:ascii="Arial" w:hAnsi="Arial" w:cs="Arial"/>
      <w:b/>
      <w:color w:val="000000"/>
      <w:sz w:val="22"/>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pPr>
    <w:rPr>
      <w:rFonts w:ascii="Garamond" w:hAnsi="Garamond" w:eastAsia="Times New Roman" w:cs="Garamond"/>
      <w:b/>
      <w:caps/>
      <w:color w:val="auto"/>
      <w:spacing w:val="20"/>
      <w:sz w:val="18"/>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2000-05-11T12:38:00Z</dcterms:created>
  <dc:creator>eecc</dc:creator>
  <dc:description/>
  <dc:language>en-CA</dc:language>
  <cp:lastModifiedBy>eecc</cp:lastModifiedBy>
  <cp:lastPrinted>2000-05-11T14:50:00Z</cp:lastPrinted>
  <dcterms:modified xsi:type="dcterms:W3CDTF">2000-05-12T11:10:00Z</dcterms:modified>
  <cp:revision>10</cp:revision>
  <dc:subject/>
  <dc:title>ENRON JAPAN WEEKLY UPDATE</dc:title>
</cp:coreProperties>
</file>