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pPr>
      <w:r>
        <w:rPr/>
        <w:t>Enron Japan weekly update</w:t>
      </w:r>
    </w:p>
    <w:p>
      <w:pPr>
        <w:pStyle w:val="Heading1"/>
        <w:ind w:hanging="0" w:start="0"/>
        <w:rPr/>
      </w:pPr>
      <w:r>
        <w:rPr/>
        <w:t>Week: June 26</w:t>
      </w:r>
      <w:r>
        <w:rPr>
          <w:vertAlign w:val="superscript"/>
        </w:rPr>
        <w:t>th</w:t>
      </w:r>
      <w:r>
        <w:rPr/>
        <w:t xml:space="preserve"> – June 30</w:t>
      </w:r>
      <w:r>
        <w:rPr>
          <w:vertAlign w:val="superscript"/>
        </w:rPr>
        <w:t>th</w:t>
      </w:r>
      <w:r>
        <w:rPr/>
        <w:t>, 2000</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John Ambler-</w:t>
            </w:r>
          </w:p>
          <w:p>
            <w:pPr>
              <w:pStyle w:val="Heading1"/>
              <w:ind w:hanging="0" w:start="0"/>
              <w:rPr/>
            </w:pPr>
            <w:r>
              <w:rPr/>
              <w:t>“</w:t>
            </w:r>
            <w:r>
              <w:rPr/>
              <w:t>Public Relations”</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7"/>
              </w:numPr>
              <w:spacing w:before="0" w:after="240"/>
              <w:rPr>
                <w:sz w:val="24"/>
              </w:rPr>
            </w:pPr>
            <w:r>
              <w:rPr/>
              <w:t>Provided presentation and coordinated tours for Toshiba visitors to Houston. Responded to media inquiries from Nikkei and Yomuiri. Agreed with Nick on Houston PR orientation for Mika Watanabe.  Developing program. Drafted Asian weather derivatives press release.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4"/>
              </w:numPr>
              <w:spacing w:before="0" w:after="240"/>
              <w:rPr>
                <w:sz w:val="24"/>
              </w:rPr>
            </w:pPr>
            <w:r>
              <w:rPr/>
              <w:t>Develop/accumulate content for Enron Japan web site. Develop additional responses and schedule outstanding media inquiries. Determine timing/whether Rebecca McDonald in Japan in late July.  Plan accordingly for interviews/press conference. Secure approvals for press release.  Plan Asian weather derivatives launch, including publicity for Japan aspect. Develop and internally pitch stories on unique staff of EJ office and receptiveness of Japanese interests to EJ.</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 xml:space="preserve">Loretta Brelsford - </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8"/>
              </w:numPr>
              <w:spacing w:before="0" w:after="240"/>
              <w:rPr>
                <w:sz w:val="24"/>
              </w:rPr>
            </w:pPr>
            <w:r>
              <w:rPr/>
              <w:t>Lucent and IPC phones operational. Purchased shredder/leased copier &amp; fax</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10"/>
              </w:numPr>
              <w:spacing w:before="0" w:after="240"/>
              <w:rPr>
                <w:sz w:val="24"/>
              </w:rPr>
            </w:pPr>
            <w:r>
              <w:rPr/>
              <w:t>Pack Kamiyacho office (Friday night – 6pm). Unpack at Otemachi office (Sunday night – 6pm)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Archie Eubanks –</w:t>
            </w:r>
          </w:p>
          <w:p>
            <w:pPr>
              <w:pStyle w:val="Heading1"/>
              <w:ind w:hanging="0" w:start="0"/>
              <w:rPr/>
            </w:pPr>
            <w:r>
              <w:rPr/>
              <w:t>“</w:t>
            </w:r>
            <w:r>
              <w:rPr/>
              <w:t>Accounting”</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12"/>
              </w:numPr>
              <w:spacing w:before="0" w:after="240"/>
              <w:rPr>
                <w:sz w:val="24"/>
              </w:rPr>
            </w:pPr>
            <w:r>
              <w:rPr/>
              <w:t>Updated 2</w:t>
            </w:r>
            <w:r>
              <w:rPr>
                <w:vertAlign w:val="superscript"/>
              </w:rPr>
              <w:t>nd</w:t>
            </w:r>
            <w:r>
              <w:rPr/>
              <w:t xml:space="preserve"> Current estimate. Initiate wire transfers to fund local bank accounts. Payments made this week (primarily  Public Relations and Executive search charges):</w:t>
            </w:r>
          </w:p>
        </w:tc>
      </w:tr>
    </w:tbl>
    <w:p>
      <w:pPr>
        <w:sectPr>
          <w:type w:val="nextPage"/>
          <w:pgSz w:w="12240" w:h="15840"/>
          <w:pgMar w:left="1800" w:right="1800" w:gutter="0" w:header="0" w:top="1440" w:footer="0" w:bottom="1440"/>
          <w:pgNumType w:fmt="decimal"/>
          <w:formProt w:val="false"/>
          <w:textDirection w:val="lrTb"/>
          <w:docGrid w:type="default" w:linePitch="360" w:charSpace="0"/>
        </w:sectPr>
      </w:pPr>
    </w:p>
    <w:tbl>
      <w:tblPr>
        <w:tblW w:w="8820" w:type="dxa"/>
        <w:jc w:val="start"/>
        <w:tblInd w:w="-60" w:type="dxa"/>
        <w:tblLayout w:type="fixed"/>
        <w:tblCellMar>
          <w:top w:w="0" w:type="dxa"/>
          <w:start w:w="30" w:type="dxa"/>
          <w:bottom w:w="0" w:type="dxa"/>
          <w:end w:w="30" w:type="dxa"/>
        </w:tblCellMar>
      </w:tblPr>
      <w:tblGrid>
        <w:gridCol w:w="2790"/>
        <w:gridCol w:w="3150"/>
        <w:gridCol w:w="1440"/>
        <w:gridCol w:w="1440"/>
      </w:tblGrid>
      <w:tr>
        <w:trPr>
          <w:trHeight w:val="230" w:hRule="atLeast"/>
        </w:trPr>
        <w:tc>
          <w:tcPr>
            <w:tcW w:w="279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Vendor</w:t>
            </w:r>
          </w:p>
        </w:tc>
        <w:tc>
          <w:tcPr>
            <w:tcW w:w="315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Description</w:t>
            </w:r>
          </w:p>
        </w:tc>
        <w:tc>
          <w:tcPr>
            <w:tcW w:w="144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JPY</w:t>
            </w:r>
          </w:p>
        </w:tc>
        <w:tc>
          <w:tcPr>
            <w:tcW w:w="144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USD</w:t>
            </w:r>
          </w:p>
        </w:tc>
      </w:tr>
      <w:tr>
        <w:trPr>
          <w:trHeight w:val="230" w:hRule="atLeast"/>
        </w:trPr>
        <w:tc>
          <w:tcPr>
            <w:tcW w:w="2790" w:type="dxa"/>
            <w:tcBorders>
              <w:top w:val="single" w:sz="6" w:space="0" w:color="000000"/>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PTS Co. Ltd.</w:t>
            </w:r>
          </w:p>
        </w:tc>
        <w:tc>
          <w:tcPr>
            <w:tcW w:w="3150" w:type="dxa"/>
            <w:tcBorders>
              <w:top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Mobile Phones</w:t>
            </w:r>
          </w:p>
        </w:tc>
        <w:tc>
          <w:tcPr>
            <w:tcW w:w="1440" w:type="dxa"/>
            <w:tcBorders>
              <w:top w:val="single" w:sz="6"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52,815.00 </w:t>
            </w:r>
          </w:p>
        </w:tc>
        <w:tc>
          <w:tcPr>
            <w:tcW w:w="1440" w:type="dxa"/>
            <w:tcBorders>
              <w:top w:val="single" w:sz="6" w:space="0" w:color="000000"/>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79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Higuchi Honten</w:t>
            </w:r>
          </w:p>
        </w:tc>
        <w:tc>
          <w:tcPr>
            <w:tcW w:w="3150" w:type="dxa"/>
            <w:tcBorders/>
          </w:tcPr>
          <w:p>
            <w:pPr>
              <w:pStyle w:val="Normal"/>
              <w:rPr>
                <w:rFonts w:ascii="Arial" w:hAnsi="Arial" w:cs="Arial"/>
                <w:color w:val="000000"/>
                <w:sz w:val="16"/>
                <w:lang w:eastAsia="en-US"/>
              </w:rPr>
            </w:pPr>
            <w:r>
              <w:rPr>
                <w:rFonts w:cs="Arial" w:ascii="Arial" w:hAnsi="Arial"/>
                <w:color w:val="000000"/>
                <w:sz w:val="16"/>
                <w:lang w:eastAsia="en-US"/>
              </w:rPr>
              <w:t>Supplies - Water</w:t>
            </w:r>
          </w:p>
        </w:tc>
        <w:tc>
          <w:tcPr>
            <w:tcW w:w="144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5,241.00 </w:t>
            </w:r>
          </w:p>
        </w:tc>
        <w:tc>
          <w:tcPr>
            <w:tcW w:w="144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79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Ken Corporation</w:t>
            </w:r>
          </w:p>
        </w:tc>
        <w:tc>
          <w:tcPr>
            <w:tcW w:w="3150" w:type="dxa"/>
            <w:tcBorders/>
          </w:tcPr>
          <w:p>
            <w:pPr>
              <w:pStyle w:val="Normal"/>
              <w:rPr>
                <w:rFonts w:ascii="Arial" w:hAnsi="Arial" w:cs="Arial"/>
                <w:color w:val="000000"/>
                <w:sz w:val="16"/>
                <w:lang w:eastAsia="en-US"/>
              </w:rPr>
            </w:pPr>
            <w:r>
              <w:rPr>
                <w:rFonts w:cs="Arial" w:ascii="Arial" w:hAnsi="Arial"/>
                <w:color w:val="000000"/>
                <w:sz w:val="16"/>
                <w:lang w:eastAsia="en-US"/>
              </w:rPr>
              <w:t>Rent- Jan-Erland (July)</w:t>
            </w:r>
          </w:p>
        </w:tc>
        <w:tc>
          <w:tcPr>
            <w:tcW w:w="144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750,000.00 </w:t>
            </w:r>
          </w:p>
        </w:tc>
        <w:tc>
          <w:tcPr>
            <w:tcW w:w="144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79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The Japan Partnership</w:t>
            </w:r>
          </w:p>
        </w:tc>
        <w:tc>
          <w:tcPr>
            <w:tcW w:w="3150" w:type="dxa"/>
            <w:tcBorders/>
          </w:tcPr>
          <w:p>
            <w:pPr>
              <w:pStyle w:val="Normal"/>
              <w:rPr>
                <w:rFonts w:ascii="Arial" w:hAnsi="Arial" w:cs="Arial"/>
                <w:color w:val="000000"/>
                <w:sz w:val="16"/>
                <w:lang w:eastAsia="en-US"/>
              </w:rPr>
            </w:pPr>
            <w:r>
              <w:rPr>
                <w:rFonts w:cs="Arial" w:ascii="Arial" w:hAnsi="Arial"/>
                <w:color w:val="000000"/>
                <w:sz w:val="16"/>
                <w:lang w:eastAsia="en-US"/>
              </w:rPr>
              <w:t>Executive Search for Snr. Mgr - Origination</w:t>
            </w:r>
          </w:p>
        </w:tc>
        <w:tc>
          <w:tcPr>
            <w:tcW w:w="144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1,890,000.00 </w:t>
            </w:r>
          </w:p>
        </w:tc>
        <w:tc>
          <w:tcPr>
            <w:tcW w:w="144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79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Sobunsha</w:t>
            </w:r>
          </w:p>
        </w:tc>
        <w:tc>
          <w:tcPr>
            <w:tcW w:w="3150" w:type="dxa"/>
            <w:tcBorders/>
          </w:tcPr>
          <w:p>
            <w:pPr>
              <w:pStyle w:val="Normal"/>
              <w:rPr>
                <w:rFonts w:ascii="Arial" w:hAnsi="Arial" w:cs="Arial"/>
                <w:color w:val="000000"/>
                <w:sz w:val="16"/>
                <w:lang w:eastAsia="en-US"/>
              </w:rPr>
            </w:pPr>
            <w:r>
              <w:rPr>
                <w:rFonts w:cs="Arial" w:ascii="Arial" w:hAnsi="Arial"/>
                <w:color w:val="000000"/>
                <w:sz w:val="16"/>
                <w:lang w:eastAsia="en-US"/>
              </w:rPr>
              <w:t>Envelopes</w:t>
            </w:r>
          </w:p>
        </w:tc>
        <w:tc>
          <w:tcPr>
            <w:tcW w:w="144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525,237.00 </w:t>
            </w:r>
          </w:p>
        </w:tc>
        <w:tc>
          <w:tcPr>
            <w:tcW w:w="144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79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Mitsuibussan Joho Tsushin Docomo</w:t>
            </w:r>
          </w:p>
        </w:tc>
        <w:tc>
          <w:tcPr>
            <w:tcW w:w="3150" w:type="dxa"/>
            <w:tcBorders/>
          </w:tcPr>
          <w:p>
            <w:pPr>
              <w:pStyle w:val="Normal"/>
              <w:rPr>
                <w:rFonts w:ascii="Arial" w:hAnsi="Arial" w:cs="Arial"/>
                <w:color w:val="000000"/>
                <w:sz w:val="16"/>
                <w:lang w:eastAsia="en-US"/>
              </w:rPr>
            </w:pPr>
            <w:r>
              <w:rPr>
                <w:rFonts w:cs="Arial" w:ascii="Arial" w:hAnsi="Arial"/>
                <w:color w:val="000000"/>
                <w:sz w:val="16"/>
                <w:lang w:eastAsia="en-US"/>
              </w:rPr>
              <w:t>Computer expenses</w:t>
            </w:r>
          </w:p>
        </w:tc>
        <w:tc>
          <w:tcPr>
            <w:tcW w:w="144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26,040.00 </w:t>
            </w:r>
          </w:p>
        </w:tc>
        <w:tc>
          <w:tcPr>
            <w:tcW w:w="144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79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Yoyogi International School</w:t>
            </w:r>
          </w:p>
        </w:tc>
        <w:tc>
          <w:tcPr>
            <w:tcW w:w="3150" w:type="dxa"/>
            <w:tcBorders/>
          </w:tcPr>
          <w:p>
            <w:pPr>
              <w:pStyle w:val="Normal"/>
              <w:rPr>
                <w:rFonts w:ascii="Arial" w:hAnsi="Arial" w:cs="Arial"/>
                <w:color w:val="000000"/>
                <w:sz w:val="16"/>
                <w:lang w:eastAsia="en-US"/>
              </w:rPr>
            </w:pPr>
            <w:r>
              <w:rPr>
                <w:rFonts w:cs="Arial" w:ascii="Arial" w:hAnsi="Arial"/>
                <w:color w:val="000000"/>
                <w:sz w:val="16"/>
                <w:lang w:eastAsia="en-US"/>
              </w:rPr>
              <w:t>Reg. Fee</w:t>
            </w:r>
          </w:p>
        </w:tc>
        <w:tc>
          <w:tcPr>
            <w:tcW w:w="144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100,000.00 </w:t>
            </w:r>
          </w:p>
        </w:tc>
        <w:tc>
          <w:tcPr>
            <w:tcW w:w="144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79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Shandwick International</w:t>
            </w:r>
          </w:p>
        </w:tc>
        <w:tc>
          <w:tcPr>
            <w:tcW w:w="3150" w:type="dxa"/>
            <w:tcBorders/>
          </w:tcPr>
          <w:p>
            <w:pPr>
              <w:pStyle w:val="Normal"/>
              <w:rPr>
                <w:rFonts w:ascii="Arial" w:hAnsi="Arial" w:cs="Arial"/>
                <w:color w:val="000000"/>
                <w:sz w:val="16"/>
                <w:lang w:eastAsia="en-US"/>
              </w:rPr>
            </w:pPr>
            <w:r>
              <w:rPr>
                <w:rFonts w:cs="Arial" w:ascii="Arial" w:hAnsi="Arial"/>
                <w:color w:val="000000"/>
                <w:sz w:val="16"/>
                <w:lang w:eastAsia="en-US"/>
              </w:rPr>
              <w:t>Public relations</w:t>
            </w:r>
          </w:p>
        </w:tc>
        <w:tc>
          <w:tcPr>
            <w:tcW w:w="144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2,554,248.60 </w:t>
            </w:r>
          </w:p>
        </w:tc>
        <w:tc>
          <w:tcPr>
            <w:tcW w:w="144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790" w:type="dxa"/>
            <w:tcBorders>
              <w:start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150" w:type="dxa"/>
            <w:tcBorders/>
          </w:tcPr>
          <w:p>
            <w:pPr>
              <w:pStyle w:val="Normal"/>
              <w:rPr>
                <w:rFonts w:ascii="Arial" w:hAnsi="Arial" w:cs="Arial"/>
                <w:b/>
                <w:color w:val="000000"/>
                <w:sz w:val="16"/>
                <w:lang w:eastAsia="en-US"/>
              </w:rPr>
            </w:pPr>
            <w:r>
              <w:rPr>
                <w:rFonts w:cs="Arial" w:ascii="Arial" w:hAnsi="Arial"/>
                <w:b/>
                <w:color w:val="000000"/>
                <w:sz w:val="16"/>
                <w:lang w:eastAsia="en-US"/>
              </w:rPr>
              <w:t>Total Yen</w:t>
            </w:r>
          </w:p>
        </w:tc>
        <w:tc>
          <w:tcPr>
            <w:tcW w:w="1440" w:type="dxa"/>
            <w:tcBorders/>
          </w:tcPr>
          <w:p>
            <w:pPr>
              <w:pStyle w:val="Normal"/>
              <w:jc w:val="end"/>
              <w:rPr>
                <w:rFonts w:ascii="Arial" w:hAnsi="Arial" w:cs="Arial"/>
                <w:b/>
                <w:color w:val="000000"/>
                <w:sz w:val="16"/>
                <w:lang w:eastAsia="en-US"/>
              </w:rPr>
            </w:pPr>
            <w:r>
              <w:rPr>
                <w:rFonts w:cs="Arial" w:ascii="Arial" w:hAnsi="Arial"/>
                <w:b/>
                <w:color w:val="000000"/>
                <w:sz w:val="16"/>
                <w:lang w:eastAsia="en-US"/>
              </w:rPr>
              <w:t xml:space="preserve">JPY 5,903,581.60 </w:t>
            </w:r>
          </w:p>
        </w:tc>
        <w:tc>
          <w:tcPr>
            <w:tcW w:w="1440" w:type="dxa"/>
            <w:tcBorders>
              <w:end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230" w:hRule="atLeast"/>
        </w:trPr>
        <w:tc>
          <w:tcPr>
            <w:tcW w:w="2790" w:type="dxa"/>
            <w:tcBorders>
              <w:start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150"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440"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440" w:type="dxa"/>
            <w:tcBorders>
              <w:end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230" w:hRule="atLeast"/>
        </w:trPr>
        <w:tc>
          <w:tcPr>
            <w:tcW w:w="279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TMP Worldwide Executive Search </w:t>
            </w:r>
          </w:p>
        </w:tc>
        <w:tc>
          <w:tcPr>
            <w:tcW w:w="3150" w:type="dxa"/>
            <w:tcBorders/>
          </w:tcPr>
          <w:p>
            <w:pPr>
              <w:pStyle w:val="Normal"/>
              <w:rPr>
                <w:rFonts w:ascii="Arial" w:hAnsi="Arial" w:cs="Arial"/>
                <w:color w:val="000000"/>
                <w:sz w:val="16"/>
                <w:lang w:eastAsia="en-US"/>
              </w:rPr>
            </w:pPr>
            <w:r>
              <w:rPr>
                <w:rFonts w:cs="Arial" w:ascii="Arial" w:hAnsi="Arial"/>
                <w:color w:val="000000"/>
                <w:sz w:val="16"/>
                <w:lang w:eastAsia="en-US"/>
              </w:rPr>
              <w:t>Executive Search- Dir, Structured Fin</w:t>
            </w:r>
          </w:p>
        </w:tc>
        <w:tc>
          <w:tcPr>
            <w:tcW w:w="1440" w:type="dxa"/>
            <w:tcBorders/>
          </w:tcPr>
          <w:p>
            <w:pPr>
              <w:pStyle w:val="Normal"/>
              <w:rPr>
                <w:rFonts w:ascii="Arial" w:hAnsi="Arial" w:eastAsia="Arial" w:cs="Arial"/>
                <w:color w:val="000000"/>
                <w:sz w:val="16"/>
                <w:lang w:eastAsia="en-US"/>
              </w:rPr>
            </w:pPr>
            <w:r>
              <w:rPr>
                <w:rFonts w:eastAsia="Arial" w:cs="Arial" w:ascii="Arial" w:hAnsi="Arial"/>
                <w:color w:val="000000"/>
                <w:sz w:val="16"/>
                <w:lang w:eastAsia="en-US"/>
              </w:rPr>
              <w:t xml:space="preserve"> </w:t>
            </w:r>
          </w:p>
        </w:tc>
        <w:tc>
          <w:tcPr>
            <w:tcW w:w="1440" w:type="dxa"/>
            <w:tcBorders>
              <w:end w:val="single" w:sz="6"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26,000.00 </w:t>
            </w:r>
          </w:p>
        </w:tc>
      </w:tr>
      <w:tr>
        <w:trPr>
          <w:trHeight w:val="230" w:hRule="atLeast"/>
        </w:trPr>
        <w:tc>
          <w:tcPr>
            <w:tcW w:w="2790" w:type="dxa"/>
            <w:tcBorders>
              <w:start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150" w:type="dxa"/>
            <w:tcBorders/>
          </w:tcPr>
          <w:p>
            <w:pPr>
              <w:pStyle w:val="Normal"/>
              <w:rPr>
                <w:rFonts w:ascii="Arial" w:hAnsi="Arial" w:cs="Arial"/>
                <w:b/>
                <w:color w:val="000000"/>
                <w:sz w:val="16"/>
                <w:lang w:eastAsia="en-US"/>
              </w:rPr>
            </w:pPr>
            <w:r>
              <w:rPr>
                <w:rFonts w:cs="Arial" w:ascii="Arial" w:hAnsi="Arial"/>
                <w:b/>
                <w:color w:val="000000"/>
                <w:sz w:val="16"/>
                <w:lang w:eastAsia="en-US"/>
              </w:rPr>
              <w:t>Total USD</w:t>
            </w:r>
          </w:p>
        </w:tc>
        <w:tc>
          <w:tcPr>
            <w:tcW w:w="1440"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440" w:type="dxa"/>
            <w:tcBorders>
              <w:end w:val="single" w:sz="6" w:space="0" w:color="000000"/>
            </w:tcBorders>
          </w:tcPr>
          <w:p>
            <w:pPr>
              <w:pStyle w:val="Normal"/>
              <w:jc w:val="end"/>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USD    26,000.00 </w:t>
            </w:r>
          </w:p>
        </w:tc>
      </w:tr>
    </w:tbl>
    <w:p>
      <w:pPr>
        <w:sectPr>
          <w:type w:val="nextPage"/>
          <w:pgSz w:w="12240" w:h="15840"/>
          <w:pgMar w:left="1800" w:right="1800" w:gutter="0" w:header="0" w:top="1440" w:footer="0" w:bottom="1440"/>
          <w:pgNumType w:fmt="decimal"/>
          <w:formProt w:val="false"/>
          <w:textDirection w:val="lrTb"/>
          <w:docGrid w:type="default" w:linePitch="360" w:charSpace="0"/>
        </w:sectPr>
      </w:pPr>
    </w:p>
    <w:tbl>
      <w:tblPr>
        <w:tblW w:w="8838" w:type="dxa"/>
        <w:jc w:val="start"/>
        <w:tblInd w:w="0" w:type="dxa"/>
        <w:tblLayout w:type="fixed"/>
        <w:tblCellMar>
          <w:top w:w="0" w:type="dxa"/>
          <w:start w:w="108" w:type="dxa"/>
          <w:bottom w:w="0" w:type="dxa"/>
          <w:end w:w="108" w:type="dxa"/>
        </w:tblCellMar>
      </w:tblPr>
      <w:tblGrid>
        <w:gridCol w:w="4428"/>
        <w:gridCol w:w="4410"/>
      </w:tblGrid>
      <w:tr>
        <w:trPr>
          <w:trHeight w:val="908" w:hRule="atLeast"/>
        </w:trPr>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40"/>
              <w:rPr>
                <w:rFonts w:ascii="Times New Roman" w:hAnsi="Times New Roman" w:cs="Times New Roman"/>
                <w:b/>
                <w:sz w:val="28"/>
              </w:rPr>
            </w:pPr>
            <w:r>
              <w:rPr>
                <w:rFonts w:cs="Times New Roman" w:ascii="Times New Roman" w:hAnsi="Times New Roman"/>
                <w:b/>
                <w:sz w:val="28"/>
              </w:rPr>
              <w:t>Next Week:</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9"/>
              </w:numPr>
              <w:spacing w:before="0" w:after="240"/>
              <w:rPr>
                <w:sz w:val="24"/>
              </w:rPr>
            </w:pPr>
            <w:r>
              <w:rPr/>
              <w:t>Prepare June flash estimate. Prepare detailed Cash Disbursement Summary for Bekeng. Obtain updated  budget information for construction, furniture and equipment costs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Susan Musch –</w:t>
            </w:r>
          </w:p>
          <w:p>
            <w:pPr>
              <w:pStyle w:val="Normal"/>
              <w:rPr>
                <w:b/>
                <w:sz w:val="28"/>
              </w:rPr>
            </w:pPr>
            <w:r>
              <w:rPr>
                <w:b/>
                <w:sz w:val="28"/>
              </w:rPr>
              <w:t>“</w:t>
            </w:r>
            <w:r>
              <w:rPr>
                <w:b/>
                <w:sz w:val="28"/>
              </w:rPr>
              <w:t>Legal”</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5"/>
              </w:numPr>
              <w:spacing w:before="0" w:after="240"/>
              <w:jc w:val="both"/>
              <w:rPr>
                <w:sz w:val="24"/>
              </w:rPr>
            </w:pPr>
            <w:r>
              <w:rPr/>
              <w:t>Worked with PWC-Tokyo regarding performing the initial tax compliance for the Japan trading entities.  (PWC have indicated that there should not be any problem in meeting the July 13</w:t>
            </w:r>
            <w:r>
              <w:rPr>
                <w:vertAlign w:val="superscript"/>
              </w:rPr>
              <w:t>th</w:t>
            </w:r>
            <w:r>
              <w:rPr/>
              <w:t xml:space="preserve"> tax return application deadline.) Reviewing tax issues for weather derivatives and financial trading in Tokyo office. Sent e-mail to Baker &amp; McKenzie requesting information regarding setting up the TK structures for the Japan trading entities.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6"/>
              </w:numPr>
              <w:spacing w:before="0" w:after="120"/>
              <w:jc w:val="both"/>
              <w:rPr>
                <w:sz w:val="24"/>
              </w:rPr>
            </w:pPr>
            <w:r>
              <w:rPr/>
              <w:t>Continue working on funding of the Japanese trading entities. Continue working on tax issues relating to weather derivatives and financial trading in Tokyo office. Send out request for bid proposals for ongoing tax compliance for Japanese entities. Continue working on the establishment of the TK arrangements for Japanese entities.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Outstanding Issues</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spacing w:before="0" w:after="240"/>
              <w:jc w:val="both"/>
              <w:rPr>
                <w:sz w:val="24"/>
              </w:rPr>
            </w:pPr>
            <w:r>
              <w:rPr/>
              <w:t>Implementation of the TK structure. Work on setting up service agreement for services being performed by Enron Japan KK for Enron Marketing KK. Set up ongoing tax compliance for the Japanese entities.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Nick O’Day-</w:t>
            </w:r>
          </w:p>
          <w:p>
            <w:pPr>
              <w:pStyle w:val="Heading2"/>
              <w:ind w:hanging="0" w:start="0"/>
              <w:rPr>
                <w:rFonts w:ascii="Garamond" w:hAnsi="Garamond" w:cs="Garamond"/>
                <w:sz w:val="22"/>
              </w:rPr>
            </w:pPr>
            <w:r>
              <w:rPr>
                <w:sz w:val="28"/>
              </w:rPr>
              <w:t>“</w:t>
            </w:r>
            <w:r>
              <w:rPr>
                <w:sz w:val="28"/>
              </w:rPr>
              <w:t>Regulatory/Government Affairs”</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11"/>
              </w:numPr>
              <w:spacing w:before="0" w:after="240"/>
              <w:rPr>
                <w:b/>
              </w:rPr>
            </w:pPr>
            <w:r>
              <w:rPr/>
              <w:t>Content sources for Enron Japan.com. Discussions with Sven Becker, Margaret Carson. SSEUB notification. Presentation on trading 7 July. Inter-utility market - Meeting with FEPCO. Settle industry standard WSA and PSA. Meeting with EPDC and Kansai Electric. Japan Traders Association - Meeting with ISDA Energy Committee. East Asia Working group meeting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Upcoming Week:</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3"/>
              </w:numPr>
              <w:spacing w:before="0" w:after="240"/>
              <w:rPr>
                <w:b/>
              </w:rPr>
            </w:pPr>
            <w:r>
              <w:rPr/>
              <w:t>Settle industry standard WSA and PSA. Meeting with Kansai Electric. Content sources for Enron Japan.com - receipt of material. Inter-utility market – Meeting with Kansai Electric</w:t>
            </w:r>
          </w:p>
        </w:tc>
      </w:tr>
    </w:tbl>
    <w:p>
      <w:pPr>
        <w:pStyle w:val="Normal"/>
        <w:rPr>
          <w:rFonts w:ascii="Garamond" w:hAnsi="Garamond" w:cs="Garamond"/>
          <w:b/>
          <w:sz w:val="22"/>
        </w:rPr>
      </w:pPr>
      <w:r>
        <w:rPr>
          <w:rFonts w:cs="Garamond" w:ascii="Garamond" w:hAnsi="Garamond"/>
          <w:b/>
          <w:sz w:val="22"/>
        </w:rPr>
      </w:r>
    </w:p>
    <w:sectPr>
      <w:type w:val="continuous"/>
      <w:pgSz w:w="12240" w:h="15840"/>
      <w:pgMar w:left="1800" w:right="180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7">
    <w:name w:val="heading 7"/>
    <w:basedOn w:val="Normal"/>
    <w:next w:val="Normal"/>
    <w:qFormat/>
    <w:pPr>
      <w:keepNext w:val="true"/>
      <w:numPr>
        <w:ilvl w:val="6"/>
        <w:numId w:val="1"/>
      </w:numPr>
      <w:tabs>
        <w:tab w:val="left" w:pos="720" w:leader="none"/>
      </w:tabs>
      <w:ind w:hanging="540" w:start="540" w:end="0"/>
      <w:jc w:val="center"/>
      <w:outlineLvl w:val="6"/>
    </w:pPr>
    <w:rPr>
      <w:rFonts w:ascii="Arial" w:hAnsi="Arial" w:cs="Arial"/>
      <w:b/>
      <w:color w:val="000000"/>
      <w:sz w:val="16"/>
      <w:lang w:eastAsia="en-US"/>
    </w:rPr>
  </w:style>
  <w:style w:type="paragraph" w:styleId="Heading8">
    <w:name w:val="heading 8"/>
    <w:basedOn w:val="Normal"/>
    <w:next w:val="Normal"/>
    <w:qFormat/>
    <w:pPr>
      <w:keepNext w:val="true"/>
      <w:numPr>
        <w:ilvl w:val="7"/>
        <w:numId w:val="1"/>
      </w:numPr>
      <w:tabs>
        <w:tab w:val="left" w:pos="720" w:leader="none"/>
      </w:tabs>
      <w:ind w:hanging="120" w:start="60" w:end="0"/>
      <w:outlineLvl w:val="7"/>
    </w:pPr>
    <w:rPr>
      <w:rFonts w:ascii="Arial" w:hAnsi="Arial" w:cs="Arial"/>
      <w:b/>
      <w:color w:val="000000"/>
      <w:sz w:val="16"/>
      <w:lang w:eastAsia="en-US"/>
    </w:rPr>
  </w:style>
  <w:style w:type="paragraph" w:styleId="Heading9">
    <w:name w:val="heading 9"/>
    <w:basedOn w:val="Normal"/>
    <w:next w:val="Normal"/>
    <w:qFormat/>
    <w:pPr>
      <w:keepNext w:val="true"/>
      <w:numPr>
        <w:ilvl w:val="8"/>
        <w:numId w:val="1"/>
      </w:numPr>
      <w:tabs>
        <w:tab w:val="left" w:pos="720" w:leader="none"/>
      </w:tabs>
      <w:ind w:hanging="120" w:start="60" w:end="-536"/>
      <w:jc w:val="center"/>
      <w:outlineLvl w:val="8"/>
    </w:pPr>
    <w:rPr>
      <w:rFonts w:ascii="Arial" w:hAnsi="Arial" w:cs="Arial"/>
      <w:b/>
      <w:color w:val="000000"/>
      <w:sz w:val="16"/>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pPr>
    <w:rPr>
      <w:rFonts w:ascii="Garamond" w:hAnsi="Garamond" w:eastAsia="Times New Roman" w:cs="Garamond"/>
      <w:b/>
      <w:caps/>
      <w:color w:val="auto"/>
      <w:spacing w:val="20"/>
      <w:sz w:val="18"/>
      <w:szCs w:val="20"/>
      <w:lang w:val="en-US" w:eastAsia="zh-CN" w:bidi="hi-IN"/>
    </w:rPr>
  </w:style>
  <w:style w:type="paragraph" w:styleId="Closing">
    <w:name w:val="Closing"/>
    <w:basedOn w:val="Normal"/>
    <w:next w:val="Normal"/>
    <w:qFormat/>
    <w:pPr>
      <w:spacing w:lineRule="atLeast" w:line="220"/>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2000-07-06T13:18:00Z</dcterms:created>
  <dc:creator>eecc</dc:creator>
  <dc:description/>
  <dc:language>en-CA</dc:language>
  <cp:lastModifiedBy>eecc</cp:lastModifiedBy>
  <dcterms:modified xsi:type="dcterms:W3CDTF">2000-07-06T18:26:00Z</dcterms:modified>
  <cp:revision>6</cp:revision>
  <dc:subject/>
  <dc:title>ENRON JAPAN WEEKLY UPDATE</dc:title>
</cp:coreProperties>
</file>