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rPr/>
      </w:pPr>
      <w:r>
        <w:rPr/>
        <w:t>Enron Japan weekly update</w:t>
      </w:r>
    </w:p>
    <w:p>
      <w:pPr>
        <w:pStyle w:val="Heading1"/>
        <w:ind w:hanging="0" w:start="0"/>
        <w:rPr/>
      </w:pPr>
      <w:r>
        <w:rPr/>
        <w:t>Week: June 12 – June 16, 2000</w:t>
      </w:r>
    </w:p>
    <w:tbl>
      <w:tblPr>
        <w:tblW w:w="8856" w:type="dxa"/>
        <w:jc w:val="start"/>
        <w:tblInd w:w="0" w:type="dxa"/>
        <w:tblLayout w:type="fixed"/>
        <w:tblCellMar>
          <w:top w:w="0" w:type="dxa"/>
          <w:start w:w="108" w:type="dxa"/>
          <w:bottom w:w="0" w:type="dxa"/>
          <w:end w:w="108" w:type="dxa"/>
        </w:tblCellMar>
      </w:tblPr>
      <w:tblGrid>
        <w:gridCol w:w="3150"/>
        <w:gridCol w:w="1278"/>
        <w:gridCol w:w="1062"/>
        <w:gridCol w:w="1710"/>
        <w:gridCol w:w="1620"/>
        <w:gridCol w:w="36"/>
      </w:tblGrid>
      <w:tr>
        <w:trPr/>
        <w:tc>
          <w:tcPr>
            <w:tcW w:w="4428" w:type="dxa"/>
            <w:gridSpan w:val="2"/>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John Ambler-</w:t>
            </w:r>
          </w:p>
          <w:p>
            <w:pPr>
              <w:pStyle w:val="Normal"/>
              <w:rPr>
                <w:b/>
                <w:sz w:val="28"/>
              </w:rPr>
            </w:pPr>
            <w:r>
              <w:rPr>
                <w:b/>
                <w:sz w:val="28"/>
              </w:rPr>
              <w:t>“</w:t>
            </w:r>
            <w:r>
              <w:rPr>
                <w:b/>
                <w:sz w:val="28"/>
              </w:rPr>
              <w:t>Public Relations”</w:t>
            </w:r>
          </w:p>
        </w:tc>
        <w:tc>
          <w:tcPr>
            <w:tcW w:w="4428" w:type="dxa"/>
            <w:gridSpan w:val="3"/>
            <w:tcBorders>
              <w:top w:val="single" w:sz="4" w:space="0" w:color="000000"/>
              <w:start w:val="single" w:sz="4" w:space="0" w:color="000000"/>
              <w:bottom w:val="single" w:sz="4" w:space="0" w:color="000000"/>
              <w:end w:val="single" w:sz="4" w:space="0" w:color="000000"/>
            </w:tcBorders>
          </w:tcPr>
          <w:p>
            <w:pPr>
              <w:pStyle w:val="BodyText"/>
              <w:numPr>
                <w:ilvl w:val="0"/>
                <w:numId w:val="4"/>
              </w:numPr>
              <w:spacing w:before="0" w:after="240"/>
              <w:rPr>
                <w:sz w:val="24"/>
              </w:rPr>
            </w:pPr>
            <w:r>
              <w:rPr>
                <w:sz w:val="24"/>
              </w:rPr>
              <w:t>Expect to send job specs by Friday and complete all preparations needed by HR for PR manager candidate. Responded to routine media inquiries.</w:t>
            </w:r>
          </w:p>
        </w:tc>
      </w:tr>
      <w:tr>
        <w:trPr/>
        <w:tc>
          <w:tcPr>
            <w:tcW w:w="4428" w:type="dxa"/>
            <w:gridSpan w:val="2"/>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Next Week:</w:t>
            </w:r>
          </w:p>
        </w:tc>
        <w:tc>
          <w:tcPr>
            <w:tcW w:w="4428" w:type="dxa"/>
            <w:gridSpan w:val="3"/>
            <w:tcBorders>
              <w:top w:val="single" w:sz="4" w:space="0" w:color="000000"/>
              <w:start w:val="single" w:sz="4" w:space="0" w:color="000000"/>
              <w:bottom w:val="single" w:sz="4" w:space="0" w:color="000000"/>
              <w:end w:val="single" w:sz="4" w:space="0" w:color="000000"/>
            </w:tcBorders>
          </w:tcPr>
          <w:p>
            <w:pPr>
              <w:pStyle w:val="BodyText"/>
              <w:numPr>
                <w:ilvl w:val="0"/>
                <w:numId w:val="12"/>
              </w:numPr>
              <w:spacing w:before="0" w:after="240"/>
              <w:rPr>
                <w:sz w:val="24"/>
              </w:rPr>
            </w:pPr>
            <w:r>
              <w:rPr>
                <w:sz w:val="24"/>
              </w:rPr>
              <w:t>Develop additional responses and schedule outstanding media inquiries. Plan interviews/possible press conference for late July McDonald trip. Develop press release and plan for Asian weather derivatives launch (postponed until mid July), including publicity for Japan aspect.</w:t>
            </w:r>
          </w:p>
        </w:tc>
      </w:tr>
      <w:tr>
        <w:trPr/>
        <w:tc>
          <w:tcPr>
            <w:tcW w:w="4428" w:type="dxa"/>
            <w:gridSpan w:val="2"/>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Outstanding Issues -</w:t>
            </w:r>
          </w:p>
        </w:tc>
        <w:tc>
          <w:tcPr>
            <w:tcW w:w="4428" w:type="dxa"/>
            <w:gridSpan w:val="3"/>
            <w:tcBorders>
              <w:top w:val="single" w:sz="4" w:space="0" w:color="000000"/>
              <w:start w:val="single" w:sz="4" w:space="0" w:color="000000"/>
              <w:bottom w:val="single" w:sz="4" w:space="0" w:color="000000"/>
              <w:end w:val="single" w:sz="4" w:space="0" w:color="000000"/>
            </w:tcBorders>
          </w:tcPr>
          <w:p>
            <w:pPr>
              <w:pStyle w:val="BodyText"/>
              <w:numPr>
                <w:ilvl w:val="0"/>
                <w:numId w:val="2"/>
              </w:numPr>
              <w:spacing w:before="0" w:after="240"/>
              <w:rPr>
                <w:sz w:val="24"/>
              </w:rPr>
            </w:pPr>
            <w:r>
              <w:rPr>
                <w:sz w:val="24"/>
              </w:rPr>
              <w:t>Complete PR manager offer</w:t>
            </w:r>
          </w:p>
        </w:tc>
      </w:tr>
      <w:tr>
        <w:trPr/>
        <w:tc>
          <w:tcPr>
            <w:tcW w:w="4428" w:type="dxa"/>
            <w:gridSpan w:val="2"/>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Loretta Brelsford –</w:t>
            </w:r>
          </w:p>
          <w:p>
            <w:pPr>
              <w:pStyle w:val="Normal"/>
              <w:rPr>
                <w:b/>
                <w:sz w:val="28"/>
              </w:rPr>
            </w:pPr>
            <w:r>
              <w:rPr>
                <w:b/>
                <w:sz w:val="28"/>
              </w:rPr>
            </w:r>
          </w:p>
        </w:tc>
        <w:tc>
          <w:tcPr>
            <w:tcW w:w="4428" w:type="dxa"/>
            <w:gridSpan w:val="3"/>
            <w:tcBorders>
              <w:top w:val="single" w:sz="4" w:space="0" w:color="000000"/>
              <w:start w:val="single" w:sz="4" w:space="0" w:color="000000"/>
              <w:bottom w:val="single" w:sz="4" w:space="0" w:color="000000"/>
              <w:end w:val="single" w:sz="4" w:space="0" w:color="000000"/>
            </w:tcBorders>
          </w:tcPr>
          <w:p>
            <w:pPr>
              <w:pStyle w:val="BodyText"/>
              <w:numPr>
                <w:ilvl w:val="0"/>
                <w:numId w:val="9"/>
              </w:numPr>
              <w:spacing w:before="0" w:after="240"/>
              <w:rPr/>
            </w:pPr>
            <w:r>
              <w:rPr/>
              <w:t>Fox contract executed. Continued Takenaka contract negotiations. Confirmed June 19 IT Room availability for equipment installation. Issued PO for AV and video teleconferencing equipment. Received updated project budgets from Fox. Received confirmation that Trading desks are on schedule (ocean freight desks actually shipped early). Ordered remaining local furniture items. Approved building signs designs. Project still on July 3 occupancy schedule.</w:t>
            </w:r>
          </w:p>
        </w:tc>
      </w:tr>
      <w:tr>
        <w:trPr/>
        <w:tc>
          <w:tcPr>
            <w:tcW w:w="4428" w:type="dxa"/>
            <w:gridSpan w:val="2"/>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Next Week:</w:t>
            </w:r>
          </w:p>
        </w:tc>
        <w:tc>
          <w:tcPr>
            <w:tcW w:w="4428" w:type="dxa"/>
            <w:gridSpan w:val="3"/>
            <w:tcBorders>
              <w:top w:val="single" w:sz="4" w:space="0" w:color="000000"/>
              <w:start w:val="single" w:sz="4" w:space="0" w:color="000000"/>
              <w:bottom w:val="single" w:sz="4" w:space="0" w:color="000000"/>
              <w:end w:val="single" w:sz="4" w:space="0" w:color="000000"/>
            </w:tcBorders>
          </w:tcPr>
          <w:p>
            <w:pPr>
              <w:pStyle w:val="BodyText"/>
              <w:numPr>
                <w:ilvl w:val="0"/>
                <w:numId w:val="15"/>
              </w:numPr>
              <w:spacing w:before="0" w:after="240"/>
              <w:rPr>
                <w:sz w:val="24"/>
              </w:rPr>
            </w:pPr>
            <w:r>
              <w:rPr>
                <w:sz w:val="24"/>
              </w:rPr>
              <w:t>Telephone/computer installation begins. Finalize construction pricing. Finalize Takenaka contract. Finalize security system design. Verify clocks for the trading room have not been overlooked.</w:t>
            </w:r>
          </w:p>
        </w:tc>
      </w:tr>
      <w:tr>
        <w:trPr/>
        <w:tc>
          <w:tcPr>
            <w:tcW w:w="4428" w:type="dxa"/>
            <w:gridSpan w:val="2"/>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Outstanding Issues</w:t>
            </w:r>
          </w:p>
        </w:tc>
        <w:tc>
          <w:tcPr>
            <w:tcW w:w="4428" w:type="dxa"/>
            <w:gridSpan w:val="3"/>
            <w:tcBorders>
              <w:top w:val="single" w:sz="4" w:space="0" w:color="000000"/>
              <w:start w:val="single" w:sz="4" w:space="0" w:color="000000"/>
              <w:bottom w:val="single" w:sz="4" w:space="0" w:color="000000"/>
              <w:end w:val="single" w:sz="4" w:space="0" w:color="000000"/>
            </w:tcBorders>
          </w:tcPr>
          <w:p>
            <w:pPr>
              <w:pStyle w:val="BodyText"/>
              <w:numPr>
                <w:ilvl w:val="0"/>
                <w:numId w:val="6"/>
              </w:numPr>
              <w:spacing w:before="0" w:after="240"/>
              <w:rPr>
                <w:sz w:val="24"/>
              </w:rPr>
            </w:pPr>
            <w:r>
              <w:rPr>
                <w:sz w:val="24"/>
              </w:rPr>
              <w:t>Takenaka contract</w:t>
            </w:r>
          </w:p>
        </w:tc>
      </w:tr>
      <w:tr>
        <w:trPr/>
        <w:tc>
          <w:tcPr>
            <w:tcW w:w="4428" w:type="dxa"/>
            <w:gridSpan w:val="2"/>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Archie Eubanks –</w:t>
            </w:r>
          </w:p>
          <w:p>
            <w:pPr>
              <w:pStyle w:val="Heading1"/>
              <w:ind w:hanging="0" w:start="0"/>
              <w:rPr/>
            </w:pPr>
            <w:r>
              <w:rPr/>
              <w:t>“</w:t>
            </w:r>
            <w:r>
              <w:rPr/>
              <w:t>Accounting”</w:t>
            </w:r>
          </w:p>
        </w:tc>
        <w:tc>
          <w:tcPr>
            <w:tcW w:w="4428" w:type="dxa"/>
            <w:gridSpan w:val="3"/>
            <w:tcBorders>
              <w:top w:val="single" w:sz="4" w:space="0" w:color="000000"/>
              <w:start w:val="single" w:sz="4" w:space="0" w:color="000000"/>
              <w:bottom w:val="single" w:sz="4" w:space="0" w:color="000000"/>
              <w:end w:val="single" w:sz="4" w:space="0" w:color="000000"/>
            </w:tcBorders>
          </w:tcPr>
          <w:p>
            <w:pPr>
              <w:pStyle w:val="BodyText"/>
              <w:numPr>
                <w:ilvl w:val="0"/>
                <w:numId w:val="13"/>
              </w:numPr>
              <w:spacing w:before="0" w:after="240"/>
              <w:rPr>
                <w:sz w:val="24"/>
              </w:rPr>
            </w:pPr>
            <w:r>
              <w:rPr>
                <w:sz w:val="24"/>
              </w:rPr>
              <w:t>Completed monthly and quarterly reporting requirements. Updated budget for May actuals. Payments made this week (primarily related to office and residential lease expenses): related to legal fees and office expenses):</w:t>
            </w:r>
          </w:p>
        </w:tc>
      </w:tr>
      <w:tr>
        <w:trPr>
          <w:trHeight w:val="230" w:hRule="atLeast"/>
        </w:trPr>
        <w:tc>
          <w:tcPr>
            <w:tcW w:w="3150" w:type="dxa"/>
            <w:tcBorders>
              <w:top w:val="single" w:sz="4" w:space="0" w:color="000000"/>
              <w:start w:val="single" w:sz="4" w:space="0" w:color="000000"/>
              <w:bottom w:val="single" w:sz="6" w:space="0" w:color="000000"/>
              <w:end w:val="single" w:sz="6" w:space="0" w:color="000000"/>
            </w:tcBorders>
            <w:tcMar>
              <w:start w:w="30" w:type="dxa"/>
              <w:end w:w="30" w:type="dxa"/>
            </w:tcMar>
          </w:tcPr>
          <w:p>
            <w:pPr>
              <w:pStyle w:val="Normal"/>
              <w:jc w:val="center"/>
              <w:rPr>
                <w:rFonts w:ascii="Arial" w:hAnsi="Arial" w:cs="Arial"/>
                <w:b/>
                <w:color w:val="000000"/>
                <w:sz w:val="16"/>
                <w:lang w:eastAsia="en-US"/>
              </w:rPr>
            </w:pPr>
            <w:r>
              <w:rPr>
                <w:rFonts w:cs="Arial" w:ascii="Arial" w:hAnsi="Arial"/>
                <w:b/>
                <w:color w:val="000000"/>
                <w:sz w:val="16"/>
                <w:lang w:eastAsia="en-US"/>
              </w:rPr>
              <w:t>Vendor</w:t>
            </w:r>
          </w:p>
        </w:tc>
        <w:tc>
          <w:tcPr>
            <w:tcW w:w="2340" w:type="dxa"/>
            <w:gridSpan w:val="2"/>
            <w:tcBorders>
              <w:top w:val="single" w:sz="4" w:space="0" w:color="000000"/>
              <w:start w:val="single" w:sz="6" w:space="0" w:color="000000"/>
              <w:bottom w:val="single" w:sz="6" w:space="0" w:color="000000"/>
              <w:end w:val="single" w:sz="6" w:space="0" w:color="000000"/>
            </w:tcBorders>
            <w:tcMar>
              <w:start w:w="30" w:type="dxa"/>
              <w:end w:w="30" w:type="dxa"/>
            </w:tcMar>
          </w:tcPr>
          <w:p>
            <w:pPr>
              <w:pStyle w:val="Normal"/>
              <w:jc w:val="center"/>
              <w:rPr>
                <w:rFonts w:ascii="Arial" w:hAnsi="Arial" w:cs="Arial"/>
                <w:b/>
                <w:color w:val="000000"/>
                <w:sz w:val="16"/>
                <w:lang w:eastAsia="en-US"/>
              </w:rPr>
            </w:pPr>
            <w:r>
              <w:rPr>
                <w:rFonts w:cs="Arial" w:ascii="Arial" w:hAnsi="Arial"/>
                <w:b/>
                <w:color w:val="000000"/>
                <w:sz w:val="16"/>
                <w:lang w:eastAsia="en-US"/>
              </w:rPr>
              <w:t>Description</w:t>
            </w:r>
          </w:p>
        </w:tc>
        <w:tc>
          <w:tcPr>
            <w:tcW w:w="1710" w:type="dxa"/>
            <w:tcBorders>
              <w:top w:val="single" w:sz="4" w:space="0" w:color="000000"/>
              <w:start w:val="single" w:sz="6" w:space="0" w:color="000000"/>
              <w:bottom w:val="single" w:sz="6" w:space="0" w:color="000000"/>
              <w:end w:val="single" w:sz="6" w:space="0" w:color="000000"/>
            </w:tcBorders>
            <w:tcMar>
              <w:start w:w="30" w:type="dxa"/>
              <w:end w:w="30" w:type="dxa"/>
            </w:tcMar>
          </w:tcPr>
          <w:p>
            <w:pPr>
              <w:pStyle w:val="Normal"/>
              <w:jc w:val="center"/>
              <w:rPr>
                <w:rFonts w:ascii="Arial" w:hAnsi="Arial" w:cs="Arial"/>
                <w:b/>
                <w:color w:val="000000"/>
                <w:sz w:val="16"/>
                <w:lang w:eastAsia="en-US"/>
              </w:rPr>
            </w:pPr>
            <w:r>
              <w:rPr>
                <w:rFonts w:cs="Arial" w:ascii="Arial" w:hAnsi="Arial"/>
                <w:b/>
                <w:color w:val="000000"/>
                <w:sz w:val="16"/>
                <w:lang w:eastAsia="en-US"/>
              </w:rPr>
              <w:t>JPY</w:t>
            </w:r>
          </w:p>
        </w:tc>
        <w:tc>
          <w:tcPr>
            <w:tcW w:w="1620" w:type="dxa"/>
            <w:tcBorders>
              <w:top w:val="single" w:sz="4" w:space="0" w:color="000000"/>
              <w:start w:val="single" w:sz="6" w:space="0" w:color="000000"/>
              <w:bottom w:val="single" w:sz="6" w:space="0" w:color="000000"/>
              <w:end w:val="single" w:sz="4" w:space="0" w:color="000000"/>
            </w:tcBorders>
            <w:tcMar>
              <w:start w:w="30" w:type="dxa"/>
              <w:end w:w="30" w:type="dxa"/>
            </w:tcMar>
          </w:tcPr>
          <w:p>
            <w:pPr>
              <w:pStyle w:val="Normal"/>
              <w:jc w:val="center"/>
              <w:rPr>
                <w:rFonts w:ascii="Arial" w:hAnsi="Arial" w:cs="Arial"/>
                <w:b/>
                <w:color w:val="000000"/>
                <w:sz w:val="16"/>
                <w:lang w:eastAsia="en-US"/>
              </w:rPr>
            </w:pPr>
            <w:r>
              <w:rPr>
                <w:rFonts w:cs="Arial" w:ascii="Arial" w:hAnsi="Arial"/>
                <w:b/>
                <w:color w:val="000000"/>
                <w:sz w:val="16"/>
                <w:lang w:eastAsia="en-US"/>
              </w:rPr>
              <w:t>AUD</w:t>
            </w:r>
          </w:p>
        </w:tc>
      </w:tr>
      <w:tr>
        <w:trPr>
          <w:trHeight w:val="230" w:hRule="atLeast"/>
        </w:trPr>
        <w:tc>
          <w:tcPr>
            <w:tcW w:w="3150" w:type="dxa"/>
            <w:tcBorders>
              <w:start w:val="single" w:sz="4" w:space="0" w:color="000000"/>
            </w:tcBorders>
            <w:tcMar>
              <w:start w:w="30" w:type="dxa"/>
              <w:end w:w="30" w:type="dxa"/>
            </w:tcMar>
          </w:tcPr>
          <w:p>
            <w:pPr>
              <w:pStyle w:val="Normal"/>
              <w:rPr>
                <w:rFonts w:ascii="Arial" w:hAnsi="Arial" w:cs="Arial"/>
                <w:color w:val="000000"/>
                <w:sz w:val="16"/>
                <w:lang w:eastAsia="en-US"/>
              </w:rPr>
            </w:pPr>
            <w:r>
              <w:rPr>
                <w:rFonts w:cs="Arial" w:ascii="Arial" w:hAnsi="Arial"/>
                <w:color w:val="000000"/>
                <w:sz w:val="16"/>
                <w:lang w:eastAsia="en-US"/>
              </w:rPr>
              <w:t>The Tokio Marine &amp; Fire Insurance Co. Ltd</w:t>
            </w:r>
          </w:p>
        </w:tc>
        <w:tc>
          <w:tcPr>
            <w:tcW w:w="2340" w:type="dxa"/>
            <w:gridSpan w:val="2"/>
            <w:tcBorders/>
            <w:tcMar>
              <w:start w:w="30" w:type="dxa"/>
              <w:end w:w="30" w:type="dxa"/>
            </w:tcMar>
          </w:tcPr>
          <w:p>
            <w:pPr>
              <w:pStyle w:val="Normal"/>
              <w:rPr>
                <w:rFonts w:ascii="Arial" w:hAnsi="Arial" w:cs="Arial"/>
                <w:color w:val="000000"/>
                <w:sz w:val="16"/>
                <w:lang w:eastAsia="en-US"/>
              </w:rPr>
            </w:pPr>
            <w:r>
              <w:rPr>
                <w:rFonts w:cs="Arial" w:ascii="Arial" w:hAnsi="Arial"/>
                <w:color w:val="000000"/>
                <w:sz w:val="16"/>
                <w:lang w:eastAsia="en-US"/>
              </w:rPr>
              <w:t>Rental fee for pmnt office</w:t>
            </w:r>
          </w:p>
        </w:tc>
        <w:tc>
          <w:tcPr>
            <w:tcW w:w="1710" w:type="dxa"/>
            <w:tcBorders/>
            <w:tcMar>
              <w:start w:w="30" w:type="dxa"/>
              <w:end w:w="30" w:type="dxa"/>
            </w:tcMar>
          </w:tcPr>
          <w:p>
            <w:pPr>
              <w:pStyle w:val="Normal"/>
              <w:jc w:val="end"/>
              <w:rPr>
                <w:rFonts w:ascii="Arial" w:hAnsi="Arial" w:cs="Arial"/>
                <w:color w:val="000000"/>
                <w:sz w:val="16"/>
                <w:lang w:eastAsia="en-US"/>
              </w:rPr>
            </w:pPr>
            <w:r>
              <w:rPr>
                <w:rFonts w:cs="Arial" w:ascii="Arial" w:hAnsi="Arial"/>
                <w:color w:val="000000"/>
                <w:sz w:val="16"/>
                <w:lang w:eastAsia="en-US"/>
              </w:rPr>
              <w:t xml:space="preserve">9,826,711.00 </w:t>
            </w:r>
          </w:p>
        </w:tc>
        <w:tc>
          <w:tcPr>
            <w:tcW w:w="1620" w:type="dxa"/>
            <w:tcBorders>
              <w:end w:val="single" w:sz="4" w:space="0" w:color="000000"/>
            </w:tcBorders>
            <w:tcMar>
              <w:start w:w="30" w:type="dxa"/>
              <w:end w:w="30" w:type="dxa"/>
            </w:tcM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3150" w:type="dxa"/>
            <w:tcBorders>
              <w:start w:val="single" w:sz="4" w:space="0" w:color="000000"/>
            </w:tcBorders>
            <w:tcMar>
              <w:start w:w="30" w:type="dxa"/>
              <w:end w:w="30" w:type="dxa"/>
            </w:tcMar>
          </w:tcPr>
          <w:p>
            <w:pPr>
              <w:pStyle w:val="Normal"/>
              <w:rPr>
                <w:rFonts w:ascii="Arial" w:hAnsi="Arial" w:cs="Arial"/>
                <w:color w:val="000000"/>
                <w:sz w:val="16"/>
                <w:lang w:eastAsia="en-US"/>
              </w:rPr>
            </w:pPr>
            <w:r>
              <w:rPr>
                <w:rFonts w:cs="Arial" w:ascii="Arial" w:hAnsi="Arial"/>
                <w:color w:val="000000"/>
                <w:sz w:val="16"/>
                <w:lang w:eastAsia="en-US"/>
              </w:rPr>
              <w:t>Mitsui Fudosan Jutaku</w:t>
            </w:r>
          </w:p>
        </w:tc>
        <w:tc>
          <w:tcPr>
            <w:tcW w:w="2340" w:type="dxa"/>
            <w:gridSpan w:val="2"/>
            <w:tcBorders/>
            <w:tcMar>
              <w:start w:w="30" w:type="dxa"/>
              <w:end w:w="30" w:type="dxa"/>
            </w:tcMar>
          </w:tcPr>
          <w:p>
            <w:pPr>
              <w:pStyle w:val="Normal"/>
              <w:rPr>
                <w:rFonts w:ascii="Arial" w:hAnsi="Arial" w:cs="Arial"/>
                <w:color w:val="000000"/>
                <w:sz w:val="16"/>
                <w:lang w:eastAsia="en-US"/>
              </w:rPr>
            </w:pPr>
            <w:r>
              <w:rPr>
                <w:rFonts w:cs="Arial" w:ascii="Arial" w:hAnsi="Arial"/>
                <w:color w:val="000000"/>
                <w:sz w:val="16"/>
                <w:lang w:eastAsia="en-US"/>
              </w:rPr>
              <w:t>Rental fee for Ebisu</w:t>
            </w:r>
          </w:p>
        </w:tc>
        <w:tc>
          <w:tcPr>
            <w:tcW w:w="1710" w:type="dxa"/>
            <w:tcBorders/>
            <w:tcMar>
              <w:start w:w="30" w:type="dxa"/>
              <w:end w:w="30" w:type="dxa"/>
            </w:tcMar>
          </w:tcPr>
          <w:p>
            <w:pPr>
              <w:pStyle w:val="Normal"/>
              <w:jc w:val="end"/>
              <w:rPr>
                <w:rFonts w:ascii="Arial" w:hAnsi="Arial" w:cs="Arial"/>
                <w:color w:val="000000"/>
                <w:sz w:val="16"/>
                <w:lang w:eastAsia="en-US"/>
              </w:rPr>
            </w:pPr>
            <w:r>
              <w:rPr>
                <w:rFonts w:cs="Arial" w:ascii="Arial" w:hAnsi="Arial"/>
                <w:color w:val="000000"/>
                <w:sz w:val="16"/>
                <w:lang w:eastAsia="en-US"/>
              </w:rPr>
              <w:t xml:space="preserve">665,672.00 </w:t>
            </w:r>
          </w:p>
        </w:tc>
        <w:tc>
          <w:tcPr>
            <w:tcW w:w="1620" w:type="dxa"/>
            <w:tcBorders>
              <w:end w:val="single" w:sz="4" w:space="0" w:color="000000"/>
            </w:tcBorders>
            <w:tcMar>
              <w:start w:w="30" w:type="dxa"/>
              <w:end w:w="30" w:type="dxa"/>
            </w:tcM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3150" w:type="dxa"/>
            <w:tcBorders>
              <w:start w:val="single" w:sz="4" w:space="0" w:color="000000"/>
            </w:tcBorders>
            <w:tcMar>
              <w:start w:w="30" w:type="dxa"/>
              <w:end w:w="30" w:type="dxa"/>
            </w:tcMar>
          </w:tcPr>
          <w:p>
            <w:pPr>
              <w:pStyle w:val="Normal"/>
              <w:rPr>
                <w:rFonts w:ascii="Arial" w:hAnsi="Arial" w:cs="Arial"/>
                <w:color w:val="000000"/>
                <w:sz w:val="16"/>
                <w:lang w:eastAsia="en-US"/>
              </w:rPr>
            </w:pPr>
            <w:r>
              <w:rPr>
                <w:rFonts w:cs="Arial" w:ascii="Arial" w:hAnsi="Arial"/>
                <w:color w:val="000000"/>
                <w:sz w:val="16"/>
                <w:lang w:eastAsia="en-US"/>
              </w:rPr>
              <w:t>Ken Corporation</w:t>
            </w:r>
          </w:p>
        </w:tc>
        <w:tc>
          <w:tcPr>
            <w:tcW w:w="2340" w:type="dxa"/>
            <w:gridSpan w:val="2"/>
            <w:tcBorders/>
            <w:tcMar>
              <w:start w:w="30" w:type="dxa"/>
              <w:end w:w="30" w:type="dxa"/>
            </w:tcMar>
          </w:tcPr>
          <w:p>
            <w:pPr>
              <w:pStyle w:val="Normal"/>
              <w:rPr>
                <w:rFonts w:ascii="Arial" w:hAnsi="Arial" w:cs="Arial"/>
                <w:color w:val="000000"/>
                <w:sz w:val="16"/>
                <w:lang w:eastAsia="en-US"/>
              </w:rPr>
            </w:pPr>
            <w:r>
              <w:rPr>
                <w:rFonts w:cs="Arial" w:ascii="Arial" w:hAnsi="Arial"/>
                <w:color w:val="000000"/>
                <w:sz w:val="16"/>
                <w:lang w:eastAsia="en-US"/>
              </w:rPr>
              <w:t>Agency Fee for Yugan</w:t>
            </w:r>
          </w:p>
        </w:tc>
        <w:tc>
          <w:tcPr>
            <w:tcW w:w="1710" w:type="dxa"/>
            <w:tcBorders/>
            <w:tcMar>
              <w:start w:w="30" w:type="dxa"/>
              <w:end w:w="30" w:type="dxa"/>
            </w:tcMar>
          </w:tcPr>
          <w:p>
            <w:pPr>
              <w:pStyle w:val="Normal"/>
              <w:jc w:val="end"/>
              <w:rPr>
                <w:rFonts w:ascii="Arial" w:hAnsi="Arial" w:cs="Arial"/>
                <w:color w:val="000000"/>
                <w:sz w:val="16"/>
                <w:lang w:eastAsia="en-US"/>
              </w:rPr>
            </w:pPr>
            <w:r>
              <w:rPr>
                <w:rFonts w:cs="Arial" w:ascii="Arial" w:hAnsi="Arial"/>
                <w:color w:val="000000"/>
                <w:sz w:val="16"/>
                <w:lang w:eastAsia="en-US"/>
              </w:rPr>
              <w:t xml:space="preserve">595,350.00 </w:t>
            </w:r>
          </w:p>
        </w:tc>
        <w:tc>
          <w:tcPr>
            <w:tcW w:w="1620" w:type="dxa"/>
            <w:tcBorders>
              <w:end w:val="single" w:sz="4" w:space="0" w:color="000000"/>
            </w:tcBorders>
            <w:tcMar>
              <w:start w:w="30" w:type="dxa"/>
              <w:end w:w="30" w:type="dxa"/>
            </w:tcM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3150" w:type="dxa"/>
            <w:tcBorders>
              <w:start w:val="single" w:sz="4" w:space="0" w:color="000000"/>
            </w:tcBorders>
            <w:tcMar>
              <w:start w:w="30" w:type="dxa"/>
              <w:end w:w="30" w:type="dxa"/>
            </w:tcMar>
          </w:tcPr>
          <w:p>
            <w:pPr>
              <w:pStyle w:val="Normal"/>
              <w:rPr>
                <w:rFonts w:ascii="Arial" w:hAnsi="Arial" w:cs="Arial"/>
                <w:color w:val="000000"/>
                <w:sz w:val="16"/>
                <w:lang w:eastAsia="en-US"/>
              </w:rPr>
            </w:pPr>
            <w:r>
              <w:rPr>
                <w:rFonts w:cs="Arial" w:ascii="Arial" w:hAnsi="Arial"/>
                <w:color w:val="000000"/>
                <w:sz w:val="16"/>
                <w:lang w:eastAsia="en-US"/>
              </w:rPr>
              <w:t>Yugan Kaisha Cemantis</w:t>
            </w:r>
          </w:p>
        </w:tc>
        <w:tc>
          <w:tcPr>
            <w:tcW w:w="2340" w:type="dxa"/>
            <w:gridSpan w:val="2"/>
            <w:tcBorders/>
            <w:tcMar>
              <w:start w:w="30" w:type="dxa"/>
              <w:end w:w="30" w:type="dxa"/>
            </w:tcMar>
          </w:tcPr>
          <w:p>
            <w:pPr>
              <w:pStyle w:val="Normal"/>
              <w:rPr>
                <w:rFonts w:ascii="Arial" w:hAnsi="Arial" w:cs="Arial"/>
                <w:color w:val="000000"/>
                <w:sz w:val="16"/>
                <w:lang w:eastAsia="en-US"/>
              </w:rPr>
            </w:pPr>
            <w:r>
              <w:rPr>
                <w:rFonts w:cs="Arial" w:ascii="Arial" w:hAnsi="Arial"/>
                <w:color w:val="000000"/>
                <w:sz w:val="16"/>
                <w:lang w:eastAsia="en-US"/>
              </w:rPr>
              <w:t>Rental fee for Grimes</w:t>
            </w:r>
          </w:p>
        </w:tc>
        <w:tc>
          <w:tcPr>
            <w:tcW w:w="1710" w:type="dxa"/>
            <w:tcBorders/>
            <w:tcMar>
              <w:start w:w="30" w:type="dxa"/>
              <w:end w:w="30" w:type="dxa"/>
            </w:tcMar>
          </w:tcPr>
          <w:p>
            <w:pPr>
              <w:pStyle w:val="Normal"/>
              <w:jc w:val="end"/>
              <w:rPr>
                <w:rFonts w:ascii="Arial" w:hAnsi="Arial" w:cs="Arial"/>
                <w:color w:val="000000"/>
                <w:sz w:val="16"/>
                <w:lang w:eastAsia="en-US"/>
              </w:rPr>
            </w:pPr>
            <w:r>
              <w:rPr>
                <w:rFonts w:cs="Arial" w:ascii="Arial" w:hAnsi="Arial"/>
                <w:color w:val="000000"/>
                <w:sz w:val="16"/>
                <w:lang w:eastAsia="en-US"/>
              </w:rPr>
              <w:t xml:space="preserve">3,402,000.00 </w:t>
            </w:r>
          </w:p>
        </w:tc>
        <w:tc>
          <w:tcPr>
            <w:tcW w:w="1620" w:type="dxa"/>
            <w:tcBorders>
              <w:end w:val="single" w:sz="4" w:space="0" w:color="000000"/>
            </w:tcBorders>
            <w:tcMar>
              <w:start w:w="30" w:type="dxa"/>
              <w:end w:w="30" w:type="dxa"/>
            </w:tcM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3150" w:type="dxa"/>
            <w:tcBorders>
              <w:start w:val="single" w:sz="4" w:space="0" w:color="000000"/>
            </w:tcBorders>
            <w:tcMar>
              <w:start w:w="30" w:type="dxa"/>
              <w:end w:w="30" w:type="dxa"/>
            </w:tcMar>
          </w:tcPr>
          <w:p>
            <w:pPr>
              <w:pStyle w:val="Normal"/>
              <w:rPr>
                <w:rFonts w:ascii="Arial" w:hAnsi="Arial" w:cs="Arial"/>
                <w:color w:val="000000"/>
                <w:sz w:val="16"/>
                <w:lang w:eastAsia="en-US"/>
              </w:rPr>
            </w:pPr>
            <w:r>
              <w:rPr>
                <w:rFonts w:cs="Arial" w:ascii="Arial" w:hAnsi="Arial"/>
                <w:color w:val="000000"/>
                <w:sz w:val="16"/>
                <w:lang w:eastAsia="en-US"/>
              </w:rPr>
              <w:t>Regus Japan K. K.</w:t>
            </w:r>
          </w:p>
        </w:tc>
        <w:tc>
          <w:tcPr>
            <w:tcW w:w="2340" w:type="dxa"/>
            <w:gridSpan w:val="2"/>
            <w:tcBorders/>
            <w:tcMar>
              <w:start w:w="30" w:type="dxa"/>
              <w:end w:w="30" w:type="dxa"/>
            </w:tcMar>
          </w:tcPr>
          <w:p>
            <w:pPr>
              <w:pStyle w:val="Normal"/>
              <w:rPr>
                <w:rFonts w:ascii="Arial" w:hAnsi="Arial" w:cs="Arial"/>
                <w:color w:val="000000"/>
                <w:sz w:val="16"/>
                <w:lang w:eastAsia="en-US"/>
              </w:rPr>
            </w:pPr>
            <w:r>
              <w:rPr>
                <w:rFonts w:cs="Arial" w:ascii="Arial" w:hAnsi="Arial"/>
                <w:color w:val="000000"/>
                <w:sz w:val="16"/>
                <w:lang w:eastAsia="en-US"/>
              </w:rPr>
              <w:t>Rental fee for Temp office</w:t>
            </w:r>
          </w:p>
        </w:tc>
        <w:tc>
          <w:tcPr>
            <w:tcW w:w="1710" w:type="dxa"/>
            <w:tcBorders/>
            <w:tcMar>
              <w:start w:w="30" w:type="dxa"/>
              <w:end w:w="30" w:type="dxa"/>
            </w:tcMar>
          </w:tcPr>
          <w:p>
            <w:pPr>
              <w:pStyle w:val="Normal"/>
              <w:jc w:val="end"/>
              <w:rPr>
                <w:rFonts w:ascii="Arial" w:hAnsi="Arial" w:cs="Arial"/>
                <w:color w:val="000000"/>
                <w:sz w:val="16"/>
                <w:lang w:eastAsia="en-US"/>
              </w:rPr>
            </w:pPr>
            <w:r>
              <w:rPr>
                <w:rFonts w:cs="Arial" w:ascii="Arial" w:hAnsi="Arial"/>
                <w:color w:val="000000"/>
                <w:sz w:val="16"/>
                <w:lang w:eastAsia="en-US"/>
              </w:rPr>
              <w:t xml:space="preserve">7,569,000.00 </w:t>
            </w:r>
          </w:p>
        </w:tc>
        <w:tc>
          <w:tcPr>
            <w:tcW w:w="1620" w:type="dxa"/>
            <w:tcBorders>
              <w:end w:val="single" w:sz="4" w:space="0" w:color="000000"/>
            </w:tcBorders>
            <w:tcMar>
              <w:start w:w="30" w:type="dxa"/>
              <w:end w:w="30" w:type="dxa"/>
            </w:tcM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3150" w:type="dxa"/>
            <w:tcBorders>
              <w:start w:val="single" w:sz="4" w:space="0" w:color="000000"/>
            </w:tcBorders>
            <w:tcMar>
              <w:start w:w="30" w:type="dxa"/>
              <w:end w:w="30" w:type="dxa"/>
            </w:tcMar>
          </w:tcPr>
          <w:p>
            <w:pPr>
              <w:pStyle w:val="Normal"/>
              <w:rPr>
                <w:rFonts w:ascii="Arial" w:hAnsi="Arial" w:cs="Arial"/>
                <w:color w:val="000000"/>
                <w:sz w:val="16"/>
                <w:lang w:eastAsia="en-US"/>
              </w:rPr>
            </w:pPr>
            <w:r>
              <w:rPr>
                <w:rFonts w:cs="Arial" w:ascii="Arial" w:hAnsi="Arial"/>
                <w:color w:val="000000"/>
                <w:sz w:val="16"/>
                <w:lang w:eastAsia="en-US"/>
              </w:rPr>
              <w:t>Tsunashima Co. Ltd.</w:t>
            </w:r>
          </w:p>
        </w:tc>
        <w:tc>
          <w:tcPr>
            <w:tcW w:w="2340" w:type="dxa"/>
            <w:gridSpan w:val="2"/>
            <w:tcBorders/>
            <w:tcMar>
              <w:start w:w="30" w:type="dxa"/>
              <w:end w:w="30" w:type="dxa"/>
            </w:tcMar>
          </w:tcPr>
          <w:p>
            <w:pPr>
              <w:pStyle w:val="Normal"/>
              <w:rPr>
                <w:rFonts w:ascii="Arial" w:hAnsi="Arial" w:cs="Arial"/>
                <w:color w:val="000000"/>
                <w:sz w:val="16"/>
                <w:lang w:eastAsia="en-US"/>
              </w:rPr>
            </w:pPr>
            <w:r>
              <w:rPr>
                <w:rFonts w:cs="Arial" w:ascii="Arial" w:hAnsi="Arial"/>
                <w:color w:val="000000"/>
                <w:sz w:val="16"/>
                <w:lang w:eastAsia="en-US"/>
              </w:rPr>
              <w:t>Rental fee for Jim Pyke</w:t>
            </w:r>
          </w:p>
        </w:tc>
        <w:tc>
          <w:tcPr>
            <w:tcW w:w="1710" w:type="dxa"/>
            <w:tcBorders/>
            <w:tcMar>
              <w:start w:w="30" w:type="dxa"/>
              <w:end w:w="30" w:type="dxa"/>
            </w:tcMar>
          </w:tcPr>
          <w:p>
            <w:pPr>
              <w:pStyle w:val="Normal"/>
              <w:jc w:val="end"/>
              <w:rPr>
                <w:rFonts w:ascii="Arial" w:hAnsi="Arial" w:cs="Arial"/>
                <w:color w:val="000000"/>
                <w:sz w:val="16"/>
                <w:lang w:eastAsia="en-US"/>
              </w:rPr>
            </w:pPr>
            <w:r>
              <w:rPr>
                <w:rFonts w:cs="Arial" w:ascii="Arial" w:hAnsi="Arial"/>
                <w:color w:val="000000"/>
                <w:sz w:val="16"/>
                <w:lang w:eastAsia="en-US"/>
              </w:rPr>
              <w:t xml:space="preserve">480,000.00 </w:t>
            </w:r>
          </w:p>
        </w:tc>
        <w:tc>
          <w:tcPr>
            <w:tcW w:w="1620" w:type="dxa"/>
            <w:tcBorders>
              <w:end w:val="single" w:sz="4" w:space="0" w:color="000000"/>
            </w:tcBorders>
            <w:tcMar>
              <w:start w:w="30" w:type="dxa"/>
              <w:end w:w="30" w:type="dxa"/>
            </w:tcM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3150" w:type="dxa"/>
            <w:tcBorders>
              <w:start w:val="single" w:sz="4" w:space="0" w:color="000000"/>
            </w:tcBorders>
            <w:tcMar>
              <w:start w:w="30" w:type="dxa"/>
              <w:end w:w="30" w:type="dxa"/>
            </w:tcMar>
          </w:tcPr>
          <w:p>
            <w:pPr>
              <w:pStyle w:val="Normal"/>
              <w:rPr>
                <w:rFonts w:ascii="Arial" w:hAnsi="Arial" w:cs="Arial"/>
                <w:color w:val="000000"/>
                <w:sz w:val="16"/>
                <w:lang w:eastAsia="en-US"/>
              </w:rPr>
            </w:pPr>
            <w:r>
              <w:rPr>
                <w:rFonts w:cs="Arial" w:ascii="Arial" w:hAnsi="Arial"/>
                <w:color w:val="000000"/>
                <w:sz w:val="16"/>
                <w:lang w:eastAsia="en-US"/>
              </w:rPr>
              <w:t>Advance International Lease</w:t>
            </w:r>
          </w:p>
        </w:tc>
        <w:tc>
          <w:tcPr>
            <w:tcW w:w="2340" w:type="dxa"/>
            <w:gridSpan w:val="2"/>
            <w:tcBorders/>
            <w:tcMar>
              <w:start w:w="30" w:type="dxa"/>
              <w:end w:w="30" w:type="dxa"/>
            </w:tcMar>
          </w:tcPr>
          <w:p>
            <w:pPr>
              <w:pStyle w:val="Normal"/>
              <w:rPr>
                <w:rFonts w:ascii="Arial" w:hAnsi="Arial" w:cs="Arial"/>
                <w:color w:val="000000"/>
                <w:sz w:val="16"/>
                <w:lang w:eastAsia="en-US"/>
              </w:rPr>
            </w:pPr>
            <w:r>
              <w:rPr>
                <w:rFonts w:cs="Arial" w:ascii="Arial" w:hAnsi="Arial"/>
                <w:color w:val="000000"/>
                <w:sz w:val="16"/>
                <w:lang w:eastAsia="en-US"/>
              </w:rPr>
              <w:t>Furniture lease for Dayao</w:t>
            </w:r>
          </w:p>
        </w:tc>
        <w:tc>
          <w:tcPr>
            <w:tcW w:w="1710" w:type="dxa"/>
            <w:tcBorders/>
            <w:tcMar>
              <w:start w:w="30" w:type="dxa"/>
              <w:end w:w="30" w:type="dxa"/>
            </w:tcMar>
          </w:tcPr>
          <w:p>
            <w:pPr>
              <w:pStyle w:val="Normal"/>
              <w:jc w:val="end"/>
              <w:rPr>
                <w:rFonts w:ascii="Arial" w:hAnsi="Arial" w:cs="Arial"/>
                <w:color w:val="000000"/>
                <w:sz w:val="16"/>
                <w:lang w:eastAsia="en-US"/>
              </w:rPr>
            </w:pPr>
            <w:r>
              <w:rPr>
                <w:rFonts w:cs="Arial" w:ascii="Arial" w:hAnsi="Arial"/>
                <w:color w:val="000000"/>
                <w:sz w:val="16"/>
                <w:lang w:eastAsia="en-US"/>
              </w:rPr>
              <w:t xml:space="preserve">606,278.00 </w:t>
            </w:r>
          </w:p>
        </w:tc>
        <w:tc>
          <w:tcPr>
            <w:tcW w:w="1620" w:type="dxa"/>
            <w:tcBorders>
              <w:end w:val="single" w:sz="4" w:space="0" w:color="000000"/>
            </w:tcBorders>
            <w:tcMar>
              <w:start w:w="30" w:type="dxa"/>
              <w:end w:w="30" w:type="dxa"/>
            </w:tcM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3150" w:type="dxa"/>
            <w:tcBorders>
              <w:start w:val="single" w:sz="4" w:space="0" w:color="000000"/>
            </w:tcBorders>
            <w:tcMar>
              <w:start w:w="30" w:type="dxa"/>
              <w:end w:w="30" w:type="dxa"/>
            </w:tcMar>
          </w:tcPr>
          <w:p>
            <w:pPr>
              <w:pStyle w:val="Normal"/>
              <w:rPr>
                <w:rFonts w:ascii="Arial" w:hAnsi="Arial" w:cs="Arial"/>
                <w:color w:val="000000"/>
                <w:sz w:val="16"/>
                <w:lang w:eastAsia="en-US"/>
              </w:rPr>
            </w:pPr>
            <w:r>
              <w:rPr>
                <w:rFonts w:cs="Arial" w:ascii="Arial" w:hAnsi="Arial"/>
                <w:color w:val="000000"/>
                <w:sz w:val="16"/>
                <w:lang w:eastAsia="en-US"/>
              </w:rPr>
              <w:t>The Japan Partnership</w:t>
            </w:r>
          </w:p>
        </w:tc>
        <w:tc>
          <w:tcPr>
            <w:tcW w:w="2340" w:type="dxa"/>
            <w:gridSpan w:val="2"/>
            <w:tcBorders/>
            <w:tcMar>
              <w:start w:w="30" w:type="dxa"/>
              <w:end w:w="30" w:type="dxa"/>
            </w:tcMar>
          </w:tcPr>
          <w:p>
            <w:pPr>
              <w:pStyle w:val="Normal"/>
              <w:rPr>
                <w:rFonts w:ascii="Arial" w:hAnsi="Arial" w:cs="Arial"/>
                <w:color w:val="000000"/>
                <w:sz w:val="16"/>
                <w:lang w:eastAsia="en-US"/>
              </w:rPr>
            </w:pPr>
            <w:r>
              <w:rPr>
                <w:rFonts w:cs="Arial" w:ascii="Arial" w:hAnsi="Arial"/>
                <w:color w:val="000000"/>
                <w:sz w:val="16"/>
                <w:lang w:eastAsia="en-US"/>
              </w:rPr>
              <w:t>Executive Search for Fujimaki</w:t>
            </w:r>
          </w:p>
        </w:tc>
        <w:tc>
          <w:tcPr>
            <w:tcW w:w="1710" w:type="dxa"/>
            <w:tcBorders/>
            <w:tcMar>
              <w:start w:w="30" w:type="dxa"/>
              <w:end w:w="30" w:type="dxa"/>
            </w:tcMar>
          </w:tcPr>
          <w:p>
            <w:pPr>
              <w:pStyle w:val="Normal"/>
              <w:jc w:val="end"/>
              <w:rPr>
                <w:rFonts w:ascii="Arial" w:hAnsi="Arial" w:cs="Arial"/>
                <w:color w:val="000000"/>
                <w:sz w:val="16"/>
                <w:lang w:eastAsia="en-US"/>
              </w:rPr>
            </w:pPr>
            <w:r>
              <w:rPr>
                <w:rFonts w:cs="Arial" w:ascii="Arial" w:hAnsi="Arial"/>
                <w:color w:val="000000"/>
                <w:sz w:val="16"/>
                <w:lang w:eastAsia="en-US"/>
              </w:rPr>
              <w:t xml:space="preserve">1,102,500.00 </w:t>
            </w:r>
          </w:p>
        </w:tc>
        <w:tc>
          <w:tcPr>
            <w:tcW w:w="1620" w:type="dxa"/>
            <w:tcBorders>
              <w:end w:val="single" w:sz="4" w:space="0" w:color="000000"/>
            </w:tcBorders>
            <w:tcMar>
              <w:start w:w="30" w:type="dxa"/>
              <w:end w:w="30" w:type="dxa"/>
            </w:tcM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3150" w:type="dxa"/>
            <w:tcBorders>
              <w:start w:val="single" w:sz="4" w:space="0" w:color="000000"/>
            </w:tcBorders>
            <w:tcMar>
              <w:start w:w="30" w:type="dxa"/>
              <w:end w:w="30" w:type="dxa"/>
            </w:tcMar>
          </w:tcPr>
          <w:p>
            <w:pPr>
              <w:pStyle w:val="Normal"/>
              <w:rPr>
                <w:rFonts w:ascii="Arial" w:hAnsi="Arial" w:cs="Arial"/>
                <w:color w:val="000000"/>
                <w:sz w:val="16"/>
                <w:lang w:eastAsia="en-US"/>
              </w:rPr>
            </w:pPr>
            <w:r>
              <w:rPr>
                <w:rFonts w:cs="Arial" w:ascii="Arial" w:hAnsi="Arial"/>
                <w:color w:val="000000"/>
                <w:sz w:val="16"/>
                <w:lang w:eastAsia="en-US"/>
              </w:rPr>
              <w:t>TGA Inc</w:t>
            </w:r>
          </w:p>
        </w:tc>
        <w:tc>
          <w:tcPr>
            <w:tcW w:w="2340" w:type="dxa"/>
            <w:gridSpan w:val="2"/>
            <w:tcBorders/>
            <w:tcMar>
              <w:start w:w="30" w:type="dxa"/>
              <w:end w:w="30" w:type="dxa"/>
            </w:tcMar>
          </w:tcPr>
          <w:p>
            <w:pPr>
              <w:pStyle w:val="Normal"/>
              <w:rPr>
                <w:rFonts w:ascii="Arial" w:hAnsi="Arial" w:cs="Arial"/>
                <w:color w:val="000000"/>
                <w:sz w:val="16"/>
                <w:lang w:eastAsia="en-US"/>
              </w:rPr>
            </w:pPr>
            <w:r>
              <w:rPr>
                <w:rFonts w:cs="Arial" w:ascii="Arial" w:hAnsi="Arial"/>
                <w:color w:val="000000"/>
                <w:sz w:val="16"/>
                <w:lang w:eastAsia="en-US"/>
              </w:rPr>
              <w:t>Relocation Services</w:t>
            </w:r>
          </w:p>
        </w:tc>
        <w:tc>
          <w:tcPr>
            <w:tcW w:w="1710" w:type="dxa"/>
            <w:tcBorders/>
            <w:tcMar>
              <w:start w:w="30" w:type="dxa"/>
              <w:end w:w="30" w:type="dxa"/>
            </w:tcMar>
          </w:tcPr>
          <w:p>
            <w:pPr>
              <w:pStyle w:val="Normal"/>
              <w:jc w:val="end"/>
              <w:rPr>
                <w:rFonts w:ascii="Arial" w:hAnsi="Arial" w:cs="Arial"/>
                <w:color w:val="000000"/>
                <w:sz w:val="16"/>
                <w:lang w:eastAsia="en-US"/>
              </w:rPr>
            </w:pPr>
            <w:r>
              <w:rPr>
                <w:rFonts w:cs="Arial" w:ascii="Arial" w:hAnsi="Arial"/>
                <w:color w:val="000000"/>
                <w:sz w:val="16"/>
                <w:lang w:eastAsia="en-US"/>
              </w:rPr>
              <w:t xml:space="preserve">2,691,691.00 </w:t>
            </w:r>
          </w:p>
        </w:tc>
        <w:tc>
          <w:tcPr>
            <w:tcW w:w="1620" w:type="dxa"/>
            <w:tcBorders>
              <w:end w:val="single" w:sz="4" w:space="0" w:color="000000"/>
            </w:tcBorders>
            <w:tcMar>
              <w:start w:w="30" w:type="dxa"/>
              <w:end w:w="30" w:type="dxa"/>
            </w:tcM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3150" w:type="dxa"/>
            <w:tcBorders>
              <w:start w:val="single" w:sz="4" w:space="0" w:color="000000"/>
            </w:tcBorders>
            <w:tcMar>
              <w:start w:w="30" w:type="dxa"/>
              <w:end w:w="30" w:type="dxa"/>
            </w:tcM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340" w:type="dxa"/>
            <w:gridSpan w:val="2"/>
            <w:tcBorders/>
            <w:tcMar>
              <w:start w:w="30" w:type="dxa"/>
              <w:end w:w="30" w:type="dxa"/>
            </w:tcMar>
          </w:tcPr>
          <w:p>
            <w:pPr>
              <w:pStyle w:val="Normal"/>
              <w:rPr>
                <w:rFonts w:ascii="Arial" w:hAnsi="Arial" w:cs="Arial"/>
                <w:b/>
                <w:color w:val="000000"/>
                <w:sz w:val="16"/>
                <w:lang w:eastAsia="en-US"/>
              </w:rPr>
            </w:pPr>
            <w:r>
              <w:rPr>
                <w:rFonts w:cs="Arial" w:ascii="Arial" w:hAnsi="Arial"/>
                <w:b/>
                <w:color w:val="000000"/>
                <w:sz w:val="16"/>
                <w:lang w:eastAsia="en-US"/>
              </w:rPr>
              <w:t>Total Yen</w:t>
            </w:r>
          </w:p>
        </w:tc>
        <w:tc>
          <w:tcPr>
            <w:tcW w:w="1710" w:type="dxa"/>
            <w:tcBorders/>
            <w:tcMar>
              <w:start w:w="30" w:type="dxa"/>
              <w:end w:w="30" w:type="dxa"/>
            </w:tcMar>
          </w:tcPr>
          <w:p>
            <w:pPr>
              <w:pStyle w:val="Normal"/>
              <w:jc w:val="end"/>
              <w:rPr>
                <w:rFonts w:ascii="Arial" w:hAnsi="Arial" w:cs="Arial"/>
                <w:b/>
                <w:color w:val="000000"/>
                <w:sz w:val="16"/>
                <w:lang w:eastAsia="en-US"/>
              </w:rPr>
            </w:pPr>
            <w:r>
              <w:rPr>
                <w:rFonts w:cs="Arial" w:ascii="Arial" w:hAnsi="Arial"/>
                <w:b/>
                <w:color w:val="000000"/>
                <w:sz w:val="16"/>
                <w:lang w:eastAsia="en-US"/>
              </w:rPr>
              <w:t xml:space="preserve">JPY 17,112,491.00 </w:t>
            </w:r>
          </w:p>
        </w:tc>
        <w:tc>
          <w:tcPr>
            <w:tcW w:w="1620" w:type="dxa"/>
            <w:tcBorders>
              <w:end w:val="single" w:sz="4" w:space="0" w:color="000000"/>
            </w:tcBorders>
            <w:tcMar>
              <w:start w:w="30" w:type="dxa"/>
              <w:end w:w="30" w:type="dxa"/>
            </w:tcM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r>
      <w:tr>
        <w:trPr>
          <w:trHeight w:val="230" w:hRule="atLeast"/>
        </w:trPr>
        <w:tc>
          <w:tcPr>
            <w:tcW w:w="3150" w:type="dxa"/>
            <w:tcBorders>
              <w:start w:val="single" w:sz="4" w:space="0" w:color="000000"/>
            </w:tcBorders>
            <w:tcMar>
              <w:start w:w="30" w:type="dxa"/>
              <w:end w:w="30" w:type="dxa"/>
            </w:tcM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340" w:type="dxa"/>
            <w:gridSpan w:val="2"/>
            <w:tcBorders/>
            <w:tcMar>
              <w:start w:w="30" w:type="dxa"/>
              <w:end w:w="30" w:type="dxa"/>
            </w:tcM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710" w:type="dxa"/>
            <w:tcBorders/>
            <w:tcMar>
              <w:start w:w="30" w:type="dxa"/>
              <w:end w:w="30" w:type="dxa"/>
            </w:tcM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620" w:type="dxa"/>
            <w:tcBorders>
              <w:end w:val="single" w:sz="4" w:space="0" w:color="000000"/>
            </w:tcBorders>
            <w:tcMar>
              <w:start w:w="30" w:type="dxa"/>
              <w:end w:w="30" w:type="dxa"/>
            </w:tcM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r>
      <w:tr>
        <w:trPr>
          <w:trHeight w:val="230" w:hRule="atLeast"/>
        </w:trPr>
        <w:tc>
          <w:tcPr>
            <w:tcW w:w="3150" w:type="dxa"/>
            <w:tcBorders>
              <w:start w:val="single" w:sz="4" w:space="0" w:color="000000"/>
            </w:tcBorders>
            <w:tcMar>
              <w:start w:w="30" w:type="dxa"/>
              <w:end w:w="30" w:type="dxa"/>
            </w:tcMar>
          </w:tcPr>
          <w:p>
            <w:pPr>
              <w:pStyle w:val="Normal"/>
              <w:rPr>
                <w:rFonts w:ascii="Arial" w:hAnsi="Arial" w:cs="Arial"/>
                <w:color w:val="000000"/>
                <w:sz w:val="16"/>
                <w:lang w:eastAsia="en-US"/>
              </w:rPr>
            </w:pPr>
            <w:r>
              <w:rPr>
                <w:rFonts w:cs="Arial" w:ascii="Arial" w:hAnsi="Arial"/>
                <w:color w:val="000000"/>
                <w:sz w:val="16"/>
                <w:lang w:eastAsia="en-US"/>
              </w:rPr>
              <w:t xml:space="preserve">Enron Australia </w:t>
            </w:r>
          </w:p>
        </w:tc>
        <w:tc>
          <w:tcPr>
            <w:tcW w:w="2340" w:type="dxa"/>
            <w:gridSpan w:val="2"/>
            <w:tcBorders/>
            <w:tcMar>
              <w:start w:w="30" w:type="dxa"/>
              <w:end w:w="30" w:type="dxa"/>
            </w:tcMar>
          </w:tcPr>
          <w:p>
            <w:pPr>
              <w:pStyle w:val="Normal"/>
              <w:rPr>
                <w:rFonts w:ascii="Arial" w:hAnsi="Arial" w:cs="Arial"/>
                <w:color w:val="000000"/>
                <w:sz w:val="16"/>
                <w:lang w:eastAsia="en-US"/>
              </w:rPr>
            </w:pPr>
            <w:r>
              <w:rPr>
                <w:rFonts w:cs="Arial" w:ascii="Arial" w:hAnsi="Arial"/>
                <w:color w:val="000000"/>
                <w:sz w:val="16"/>
                <w:lang w:eastAsia="en-US"/>
              </w:rPr>
              <w:t>Services thru May 2000</w:t>
            </w:r>
          </w:p>
        </w:tc>
        <w:tc>
          <w:tcPr>
            <w:tcW w:w="1710" w:type="dxa"/>
            <w:tcBorders/>
            <w:tcMar>
              <w:start w:w="30" w:type="dxa"/>
              <w:end w:w="30" w:type="dxa"/>
            </w:tcMar>
          </w:tcPr>
          <w:p>
            <w:pPr>
              <w:pStyle w:val="Normal"/>
              <w:rPr>
                <w:rFonts w:ascii="Arial" w:hAnsi="Arial" w:eastAsia="Arial" w:cs="Arial"/>
                <w:color w:val="000000"/>
                <w:sz w:val="16"/>
                <w:lang w:eastAsia="en-US"/>
              </w:rPr>
            </w:pPr>
            <w:r>
              <w:rPr>
                <w:rFonts w:eastAsia="Arial" w:cs="Arial" w:ascii="Arial" w:hAnsi="Arial"/>
                <w:color w:val="000000"/>
                <w:sz w:val="16"/>
                <w:lang w:eastAsia="en-US"/>
              </w:rPr>
              <w:t xml:space="preserve"> </w:t>
            </w:r>
          </w:p>
        </w:tc>
        <w:tc>
          <w:tcPr>
            <w:tcW w:w="1620" w:type="dxa"/>
            <w:tcBorders>
              <w:end w:val="single" w:sz="4" w:space="0" w:color="000000"/>
            </w:tcBorders>
            <w:tcMar>
              <w:start w:w="30" w:type="dxa"/>
              <w:end w:w="30" w:type="dxa"/>
            </w:tcMar>
          </w:tcPr>
          <w:p>
            <w:pPr>
              <w:pStyle w:val="Normal"/>
              <w:jc w:val="end"/>
              <w:rPr>
                <w:rFonts w:ascii="Arial" w:hAnsi="Arial" w:cs="Arial"/>
                <w:color w:val="000000"/>
                <w:sz w:val="16"/>
                <w:lang w:eastAsia="en-US"/>
              </w:rPr>
            </w:pPr>
            <w:r>
              <w:rPr>
                <w:rFonts w:cs="Arial" w:ascii="Arial" w:hAnsi="Arial"/>
                <w:color w:val="000000"/>
                <w:sz w:val="16"/>
                <w:lang w:eastAsia="en-US"/>
              </w:rPr>
              <w:t xml:space="preserve">155,716.96 </w:t>
            </w:r>
          </w:p>
        </w:tc>
      </w:tr>
      <w:tr>
        <w:trPr>
          <w:trHeight w:val="230" w:hRule="atLeast"/>
        </w:trPr>
        <w:tc>
          <w:tcPr>
            <w:tcW w:w="3150" w:type="dxa"/>
            <w:tcBorders>
              <w:start w:val="single" w:sz="4" w:space="0" w:color="000000"/>
            </w:tcBorders>
            <w:tcMar>
              <w:start w:w="30" w:type="dxa"/>
              <w:end w:w="30" w:type="dxa"/>
            </w:tcM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340" w:type="dxa"/>
            <w:gridSpan w:val="2"/>
            <w:tcBorders/>
            <w:tcMar>
              <w:start w:w="30" w:type="dxa"/>
              <w:end w:w="30" w:type="dxa"/>
            </w:tcMar>
          </w:tcPr>
          <w:p>
            <w:pPr>
              <w:pStyle w:val="Normal"/>
              <w:rPr>
                <w:rFonts w:ascii="Arial" w:hAnsi="Arial" w:cs="Arial"/>
                <w:b/>
                <w:color w:val="000000"/>
                <w:sz w:val="16"/>
                <w:lang w:eastAsia="en-US"/>
              </w:rPr>
            </w:pPr>
            <w:r>
              <w:rPr>
                <w:rFonts w:cs="Arial" w:ascii="Arial" w:hAnsi="Arial"/>
                <w:b/>
                <w:color w:val="000000"/>
                <w:sz w:val="16"/>
                <w:lang w:eastAsia="en-US"/>
              </w:rPr>
              <w:t>Total AUD</w:t>
            </w:r>
          </w:p>
        </w:tc>
        <w:tc>
          <w:tcPr>
            <w:tcW w:w="1710" w:type="dxa"/>
            <w:tcBorders/>
            <w:tcMar>
              <w:start w:w="30" w:type="dxa"/>
              <w:end w:w="30" w:type="dxa"/>
            </w:tcM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620" w:type="dxa"/>
            <w:tcBorders>
              <w:end w:val="single" w:sz="4" w:space="0" w:color="000000"/>
            </w:tcBorders>
            <w:tcMar>
              <w:start w:w="30" w:type="dxa"/>
              <w:end w:w="30" w:type="dxa"/>
            </w:tcMar>
          </w:tcPr>
          <w:p>
            <w:pPr>
              <w:pStyle w:val="Normal"/>
              <w:jc w:val="end"/>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 xml:space="preserve">AUD  155,716.96 </w:t>
            </w:r>
          </w:p>
        </w:tc>
      </w:tr>
      <w:tr>
        <w:trPr>
          <w:trHeight w:val="80" w:hRule="atLeast"/>
        </w:trPr>
        <w:tc>
          <w:tcPr>
            <w:tcW w:w="3150" w:type="dxa"/>
            <w:tcBorders>
              <w:start w:val="single" w:sz="4" w:space="0" w:color="000000"/>
              <w:bottom w:val="single" w:sz="4" w:space="0" w:color="000000"/>
            </w:tcBorders>
            <w:tcMar>
              <w:start w:w="30" w:type="dxa"/>
              <w:end w:w="30" w:type="dxa"/>
            </w:tcM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2340" w:type="dxa"/>
            <w:gridSpan w:val="2"/>
            <w:tcBorders>
              <w:bottom w:val="single" w:sz="4" w:space="0" w:color="000000"/>
            </w:tcBorders>
            <w:tcMar>
              <w:start w:w="30" w:type="dxa"/>
              <w:end w:w="30" w:type="dxa"/>
            </w:tcM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710" w:type="dxa"/>
            <w:tcBorders>
              <w:bottom w:val="single" w:sz="4" w:space="0" w:color="000000"/>
            </w:tcBorders>
            <w:tcMar>
              <w:start w:w="30" w:type="dxa"/>
              <w:end w:w="30" w:type="dxa"/>
            </w:tcM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620" w:type="dxa"/>
            <w:tcBorders>
              <w:bottom w:val="single" w:sz="4" w:space="0" w:color="000000"/>
              <w:end w:val="single" w:sz="4" w:space="0" w:color="000000"/>
            </w:tcBorders>
            <w:tcMar>
              <w:start w:w="30" w:type="dxa"/>
              <w:end w:w="30" w:type="dxa"/>
            </w:tcM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bl>
    <w:p>
      <w:pPr>
        <w:pStyle w:val="Normal"/>
        <w:rPr/>
      </w:pPr>
      <w:r>
        <w:rPr/>
      </w:r>
    </w:p>
    <w:tbl>
      <w:tblPr>
        <w:tblW w:w="8838" w:type="dxa"/>
        <w:jc w:val="start"/>
        <w:tblInd w:w="0" w:type="dxa"/>
        <w:tblLayout w:type="fixed"/>
        <w:tblCellMar>
          <w:top w:w="0" w:type="dxa"/>
          <w:start w:w="108" w:type="dxa"/>
          <w:bottom w:w="0" w:type="dxa"/>
          <w:end w:w="108" w:type="dxa"/>
        </w:tblCellMar>
      </w:tblPr>
      <w:tblGrid>
        <w:gridCol w:w="4410"/>
        <w:gridCol w:w="18"/>
        <w:gridCol w:w="4392"/>
        <w:gridCol w:w="18"/>
      </w:tblGrid>
      <w:tr>
        <w:trPr>
          <w:trHeight w:val="908" w:hRule="atLeast"/>
        </w:trPr>
        <w:tc>
          <w:tcPr>
            <w:tcW w:w="4428" w:type="dxa"/>
            <w:gridSpan w:val="2"/>
            <w:tcBorders>
              <w:top w:val="single" w:sz="4" w:space="0" w:color="000000"/>
              <w:start w:val="single" w:sz="4" w:space="0" w:color="000000"/>
              <w:bottom w:val="single" w:sz="4" w:space="0" w:color="000000"/>
              <w:end w:val="single" w:sz="4" w:space="0" w:color="000000"/>
            </w:tcBorders>
          </w:tcPr>
          <w:p>
            <w:pPr>
              <w:pStyle w:val="BodyText"/>
              <w:spacing w:before="0" w:after="240"/>
              <w:rPr>
                <w:b/>
                <w:sz w:val="28"/>
              </w:rPr>
            </w:pPr>
            <w:r>
              <w:rPr>
                <w:b/>
                <w:sz w:val="28"/>
              </w:rPr>
              <w:t>Next Week:</w:t>
            </w:r>
          </w:p>
        </w:tc>
        <w:tc>
          <w:tcPr>
            <w:tcW w:w="4410" w:type="dxa"/>
            <w:tcBorders>
              <w:top w:val="single" w:sz="4" w:space="0" w:color="000000"/>
              <w:start w:val="single" w:sz="4" w:space="0" w:color="000000"/>
              <w:bottom w:val="single" w:sz="4" w:space="0" w:color="000000"/>
              <w:end w:val="single" w:sz="4" w:space="0" w:color="000000"/>
            </w:tcBorders>
          </w:tcPr>
          <w:p>
            <w:pPr>
              <w:pStyle w:val="BodyText"/>
              <w:numPr>
                <w:ilvl w:val="0"/>
                <w:numId w:val="5"/>
              </w:numPr>
              <w:spacing w:before="0" w:after="240"/>
              <w:rPr>
                <w:sz w:val="24"/>
              </w:rPr>
            </w:pPr>
            <w:r>
              <w:rPr>
                <w:sz w:val="24"/>
              </w:rPr>
              <w:t>Complete process of setting up legal entity books on Houston SAP System. Update 3</w:t>
            </w:r>
            <w:r>
              <w:rPr>
                <w:sz w:val="24"/>
                <w:vertAlign w:val="superscript"/>
              </w:rPr>
              <w:t>rd</w:t>
            </w:r>
            <w:r>
              <w:rPr>
                <w:sz w:val="24"/>
              </w:rPr>
              <w:t xml:space="preserve"> and 4</w:t>
            </w:r>
            <w:r>
              <w:rPr>
                <w:sz w:val="24"/>
                <w:vertAlign w:val="superscript"/>
              </w:rPr>
              <w:t>th</w:t>
            </w:r>
            <w:r>
              <w:rPr>
                <w:sz w:val="24"/>
              </w:rPr>
              <w:t xml:space="preserve"> Quarter Forecast. Obtain updated budget information for construction, furniture and equipment costs.</w:t>
            </w:r>
          </w:p>
        </w:tc>
      </w:tr>
      <w:tr>
        <w:trPr/>
        <w:tc>
          <w:tcPr>
            <w:tcW w:w="4428" w:type="dxa"/>
            <w:gridSpan w:val="2"/>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Susan Musch –</w:t>
            </w:r>
          </w:p>
          <w:p>
            <w:pPr>
              <w:pStyle w:val="Normal"/>
              <w:rPr>
                <w:b/>
                <w:sz w:val="28"/>
              </w:rPr>
            </w:pPr>
            <w:r>
              <w:rPr>
                <w:b/>
                <w:sz w:val="28"/>
              </w:rPr>
              <w:t>“</w:t>
            </w:r>
            <w:r>
              <w:rPr>
                <w:b/>
                <w:sz w:val="28"/>
              </w:rPr>
              <w:t>Tax”</w:t>
            </w:r>
          </w:p>
        </w:tc>
        <w:tc>
          <w:tcPr>
            <w:tcW w:w="4410" w:type="dxa"/>
            <w:tcBorders>
              <w:top w:val="single" w:sz="4" w:space="0" w:color="000000"/>
              <w:start w:val="single" w:sz="4" w:space="0" w:color="000000"/>
              <w:bottom w:val="single" w:sz="4" w:space="0" w:color="000000"/>
              <w:end w:val="single" w:sz="4" w:space="0" w:color="000000"/>
            </w:tcBorders>
          </w:tcPr>
          <w:p>
            <w:pPr>
              <w:pStyle w:val="BodyText"/>
              <w:numPr>
                <w:ilvl w:val="0"/>
                <w:numId w:val="11"/>
              </w:numPr>
              <w:spacing w:before="0" w:after="240"/>
              <w:jc w:val="both"/>
              <w:rPr>
                <w:sz w:val="24"/>
              </w:rPr>
            </w:pPr>
            <w:r>
              <w:rPr>
                <w:sz w:val="24"/>
              </w:rPr>
              <w:t>Researched taxation issues relating to club memberships for Tokyo American Club. Reviewing tax issues for weather derivatives and financial trading in Tokyo office. Conference call with Baker &amp; McKenzie on issues relating to the funding structure.</w:t>
            </w:r>
          </w:p>
        </w:tc>
      </w:tr>
      <w:tr>
        <w:trPr/>
        <w:tc>
          <w:tcPr>
            <w:tcW w:w="4428" w:type="dxa"/>
            <w:gridSpan w:val="2"/>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Next Week:</w:t>
            </w:r>
          </w:p>
        </w:tc>
        <w:tc>
          <w:tcPr>
            <w:tcW w:w="4410" w:type="dxa"/>
            <w:tcBorders>
              <w:top w:val="single" w:sz="4" w:space="0" w:color="000000"/>
              <w:start w:val="single" w:sz="4" w:space="0" w:color="000000"/>
              <w:bottom w:val="single" w:sz="4" w:space="0" w:color="000000"/>
              <w:end w:val="single" w:sz="4" w:space="0" w:color="000000"/>
            </w:tcBorders>
          </w:tcPr>
          <w:p>
            <w:pPr>
              <w:pStyle w:val="BodyText"/>
              <w:numPr>
                <w:ilvl w:val="0"/>
                <w:numId w:val="7"/>
              </w:numPr>
              <w:spacing w:before="0" w:after="120"/>
              <w:jc w:val="both"/>
              <w:rPr>
                <w:sz w:val="24"/>
              </w:rPr>
            </w:pPr>
            <w:r>
              <w:rPr>
                <w:sz w:val="24"/>
              </w:rPr>
              <w:t>Continue working on funding of the Japanese trading entities. Continue working on tax issues relating to weather derivatives and financial trading in Tokyo office. Follow up on tax compliance for Japanese structures. Pursue steps to set up TK arrangements for Japanese entities.</w:t>
            </w:r>
          </w:p>
        </w:tc>
      </w:tr>
      <w:tr>
        <w:trPr>
          <w:trHeight w:val="230" w:hRule="atLeast"/>
        </w:trPr>
        <w:tc>
          <w:tcPr>
            <w:tcW w:w="441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rPr>
                <w:b/>
                <w:sz w:val="28"/>
              </w:rPr>
            </w:pPr>
            <w:r>
              <w:rPr>
                <w:b/>
                <w:sz w:val="28"/>
              </w:rPr>
              <w:t>Outstanding Issues</w:t>
            </w:r>
          </w:p>
        </w:tc>
        <w:tc>
          <w:tcPr>
            <w:tcW w:w="4410" w:type="dxa"/>
            <w:gridSpan w:val="2"/>
            <w:tcBorders>
              <w:top w:val="single" w:sz="4" w:space="0" w:color="000000"/>
              <w:start w:val="single" w:sz="4" w:space="0" w:color="000000"/>
              <w:bottom w:val="single" w:sz="4" w:space="0" w:color="000000"/>
              <w:end w:val="single" w:sz="4" w:space="0" w:color="000000"/>
            </w:tcBorders>
            <w:tcMar>
              <w:start w:w="30" w:type="dxa"/>
              <w:end w:w="30" w:type="dxa"/>
            </w:tcMar>
          </w:tcPr>
          <w:p>
            <w:pPr>
              <w:pStyle w:val="BodyText"/>
              <w:numPr>
                <w:ilvl w:val="0"/>
                <w:numId w:val="10"/>
              </w:numPr>
              <w:spacing w:before="0" w:after="240"/>
              <w:jc w:val="both"/>
              <w:rPr>
                <w:sz w:val="24"/>
              </w:rPr>
            </w:pPr>
            <w:r>
              <w:rPr>
                <w:sz w:val="24"/>
              </w:rPr>
              <w:t>Implementation of the TK structure. Work on setting up service agreement for services being performed by Enron Japan KK for Enron Marketing KK.</w:t>
            </w:r>
          </w:p>
        </w:tc>
      </w:tr>
      <w:tr>
        <w:trPr>
          <w:trHeight w:val="1385" w:hRule="atLeast"/>
        </w:trPr>
        <w:tc>
          <w:tcPr>
            <w:tcW w:w="441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rPr>
                <w:b/>
                <w:sz w:val="28"/>
              </w:rPr>
            </w:pPr>
            <w:r>
              <w:rPr>
                <w:b/>
                <w:sz w:val="28"/>
              </w:rPr>
              <w:t>Nick O’Day-</w:t>
            </w:r>
          </w:p>
          <w:p>
            <w:pPr>
              <w:pStyle w:val="Heading2"/>
              <w:ind w:hanging="0" w:start="0"/>
              <w:rPr/>
            </w:pPr>
            <w:r>
              <w:rPr/>
              <w:t>“</w:t>
            </w:r>
            <w:r>
              <w:rPr/>
              <w:t>Regulatory/Government Affairs”</w:t>
            </w:r>
          </w:p>
        </w:tc>
        <w:tc>
          <w:tcPr>
            <w:tcW w:w="4410" w:type="dxa"/>
            <w:gridSpan w:val="2"/>
            <w:tcBorders>
              <w:top w:val="single" w:sz="4" w:space="0" w:color="000000"/>
              <w:start w:val="single" w:sz="4" w:space="0" w:color="000000"/>
              <w:bottom w:val="single" w:sz="4" w:space="0" w:color="000000"/>
              <w:end w:val="single" w:sz="4" w:space="0" w:color="000000"/>
            </w:tcBorders>
            <w:tcMar>
              <w:start w:w="30" w:type="dxa"/>
              <w:end w:w="30" w:type="dxa"/>
            </w:tcMar>
          </w:tcPr>
          <w:p>
            <w:pPr>
              <w:pStyle w:val="BodyText"/>
              <w:numPr>
                <w:ilvl w:val="0"/>
                <w:numId w:val="14"/>
              </w:numPr>
              <w:spacing w:before="0" w:after="240"/>
              <w:rPr>
                <w:b/>
                <w:sz w:val="24"/>
              </w:rPr>
            </w:pPr>
            <w:r>
              <w:rPr>
                <w:sz w:val="24"/>
              </w:rPr>
              <w:t>Regulatory/Government Affairs. Introduced PSA and WSA to Kansai Electric.</w:t>
            </w:r>
          </w:p>
        </w:tc>
      </w:tr>
      <w:tr>
        <w:trPr>
          <w:trHeight w:val="647" w:hRule="atLeast"/>
        </w:trPr>
        <w:tc>
          <w:tcPr>
            <w:tcW w:w="441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rPr>
                <w:b/>
                <w:sz w:val="28"/>
              </w:rPr>
            </w:pPr>
            <w:r>
              <w:rPr>
                <w:b/>
                <w:sz w:val="28"/>
              </w:rPr>
              <w:t>Upcoming Week:</w:t>
            </w:r>
          </w:p>
        </w:tc>
        <w:tc>
          <w:tcPr>
            <w:tcW w:w="4410" w:type="dxa"/>
            <w:gridSpan w:val="2"/>
            <w:tcBorders>
              <w:top w:val="single" w:sz="4" w:space="0" w:color="000000"/>
              <w:start w:val="single" w:sz="4" w:space="0" w:color="000000"/>
              <w:bottom w:val="single" w:sz="4" w:space="0" w:color="000000"/>
              <w:end w:val="single" w:sz="4" w:space="0" w:color="000000"/>
            </w:tcBorders>
            <w:tcMar>
              <w:start w:w="30" w:type="dxa"/>
              <w:end w:w="30" w:type="dxa"/>
            </w:tcMar>
          </w:tcPr>
          <w:p>
            <w:pPr>
              <w:pStyle w:val="BodyText"/>
              <w:numPr>
                <w:ilvl w:val="0"/>
                <w:numId w:val="8"/>
              </w:numPr>
              <w:spacing w:before="0" w:after="240"/>
              <w:rPr>
                <w:b/>
                <w:sz w:val="24"/>
              </w:rPr>
            </w:pPr>
            <w:r>
              <w:rPr>
                <w:sz w:val="24"/>
              </w:rPr>
              <w:t xml:space="preserve">Meeting with MITI - Introduction, SSEUB notification. Meeting with Federation re inter-utility market. Map out detailed APEC strategy. Commence establishment process for Japan electricity traders’ association. Advance content sourcing for website. Commence translation process for draft gas discussion paper. Commence “regulatory risk analysis” process. </w:t>
            </w:r>
          </w:p>
        </w:tc>
      </w:tr>
      <w:tr>
        <w:trPr>
          <w:trHeight w:val="230" w:hRule="atLeast"/>
        </w:trPr>
        <w:tc>
          <w:tcPr>
            <w:tcW w:w="4410" w:type="dxa"/>
            <w:tcBorders>
              <w:top w:val="single" w:sz="4" w:space="0" w:color="000000"/>
              <w:start w:val="single" w:sz="4" w:space="0" w:color="000000"/>
              <w:bottom w:val="single" w:sz="4" w:space="0" w:color="000000"/>
              <w:end w:val="single" w:sz="4" w:space="0" w:color="000000"/>
            </w:tcBorders>
            <w:tcMar>
              <w:start w:w="30" w:type="dxa"/>
              <w:end w:w="30" w:type="dxa"/>
            </w:tcMar>
          </w:tcPr>
          <w:p>
            <w:pPr>
              <w:pStyle w:val="Normal"/>
              <w:rPr>
                <w:b/>
                <w:sz w:val="28"/>
              </w:rPr>
            </w:pPr>
            <w:r>
              <w:rPr>
                <w:b/>
                <w:sz w:val="28"/>
              </w:rPr>
              <w:t>Other:</w:t>
            </w:r>
          </w:p>
        </w:tc>
        <w:tc>
          <w:tcPr>
            <w:tcW w:w="4410" w:type="dxa"/>
            <w:gridSpan w:val="2"/>
            <w:tcBorders>
              <w:top w:val="single" w:sz="4" w:space="0" w:color="000000"/>
              <w:start w:val="single" w:sz="4" w:space="0" w:color="000000"/>
              <w:bottom w:val="single" w:sz="4" w:space="0" w:color="000000"/>
              <w:end w:val="single" w:sz="4" w:space="0" w:color="000000"/>
            </w:tcBorders>
            <w:tcMar>
              <w:start w:w="30" w:type="dxa"/>
              <w:end w:w="30" w:type="dxa"/>
            </w:tcMar>
          </w:tcPr>
          <w:p>
            <w:pPr>
              <w:pStyle w:val="BodyText"/>
              <w:numPr>
                <w:ilvl w:val="0"/>
                <w:numId w:val="3"/>
              </w:numPr>
              <w:spacing w:before="0" w:after="240"/>
              <w:rPr>
                <w:b/>
                <w:sz w:val="24"/>
              </w:rPr>
            </w:pPr>
            <w:r>
              <w:rPr>
                <w:sz w:val="24"/>
              </w:rPr>
              <w:t>Meeting with Osaka Gas. Interview with Regulatory Manager Mark Crowther. Round three interviews completed Director Gov’t Affairs. Interview with in-house counsel candidate. Arranging Houston visit for IBJ. Arranging DBJ visit to Frankfurt office.</w:t>
            </w:r>
          </w:p>
        </w:tc>
      </w:tr>
    </w:tbl>
    <w:p>
      <w:pPr>
        <w:pStyle w:val="Normal"/>
        <w:rPr>
          <w:b/>
          <w:sz w:val="28"/>
        </w:rPr>
      </w:pPr>
      <w:r>
        <w:rPr>
          <w:b/>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b/>
      <w:sz w:val="24"/>
    </w:rPr>
  </w:style>
  <w:style w:type="paragraph" w:styleId="Heading7">
    <w:name w:val="heading 7"/>
    <w:basedOn w:val="Normal"/>
    <w:next w:val="Normal"/>
    <w:qFormat/>
    <w:pPr>
      <w:keepNext w:val="true"/>
      <w:numPr>
        <w:ilvl w:val="6"/>
        <w:numId w:val="1"/>
      </w:numPr>
      <w:tabs>
        <w:tab w:val="left" w:pos="720" w:leader="none"/>
      </w:tabs>
      <w:ind w:hanging="540" w:start="540" w:end="0"/>
      <w:jc w:val="center"/>
      <w:outlineLvl w:val="6"/>
    </w:pPr>
    <w:rPr>
      <w:rFonts w:ascii="Arial" w:hAnsi="Arial" w:cs="Arial"/>
      <w:b/>
      <w:color w:val="000000"/>
      <w:sz w:val="16"/>
      <w:lang w:eastAsia="en-US"/>
    </w:rPr>
  </w:style>
  <w:style w:type="paragraph" w:styleId="Heading8">
    <w:name w:val="heading 8"/>
    <w:basedOn w:val="Normal"/>
    <w:next w:val="Normal"/>
    <w:qFormat/>
    <w:pPr>
      <w:keepNext w:val="true"/>
      <w:numPr>
        <w:ilvl w:val="7"/>
        <w:numId w:val="1"/>
      </w:numPr>
      <w:tabs>
        <w:tab w:val="left" w:pos="720" w:leader="none"/>
      </w:tabs>
      <w:ind w:hanging="120" w:start="60" w:end="0"/>
      <w:outlineLvl w:val="7"/>
    </w:pPr>
    <w:rPr>
      <w:rFonts w:ascii="Arial" w:hAnsi="Arial" w:cs="Arial"/>
      <w:b/>
      <w:color w:val="000000"/>
      <w:sz w:val="16"/>
      <w:lang w:eastAsia="en-US"/>
    </w:rPr>
  </w:style>
  <w:style w:type="paragraph" w:styleId="Heading9">
    <w:name w:val="heading 9"/>
    <w:basedOn w:val="Normal"/>
    <w:next w:val="Normal"/>
    <w:qFormat/>
    <w:pPr>
      <w:keepNext w:val="true"/>
      <w:numPr>
        <w:ilvl w:val="8"/>
        <w:numId w:val="1"/>
      </w:numPr>
      <w:tabs>
        <w:tab w:val="left" w:pos="720" w:leader="none"/>
      </w:tabs>
      <w:ind w:hanging="120" w:start="60" w:end="-536"/>
      <w:jc w:val="center"/>
      <w:outlineLvl w:val="8"/>
    </w:pPr>
    <w:rPr>
      <w:rFonts w:ascii="Arial" w:hAnsi="Arial" w:cs="Arial"/>
      <w:b/>
      <w:color w:val="000000"/>
      <w:sz w:val="16"/>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pPr>
    <w:rPr>
      <w:rFonts w:ascii="Garamond" w:hAnsi="Garamond" w:cs="Garamond"/>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Label">
    <w:name w:val="Document Label"/>
    <w:next w:val="Normal"/>
    <w:qFormat/>
    <w:pPr>
      <w:widowControl/>
      <w:pBdr>
        <w:top w:val="double" w:sz="6" w:space="8" w:color="808080"/>
        <w:bottom w:val="double" w:sz="6" w:space="8" w:color="808080"/>
      </w:pBdr>
      <w:bidi w:val="0"/>
      <w:spacing w:lineRule="atLeast" w:line="240" w:before="0" w:after="40"/>
    </w:pPr>
    <w:rPr>
      <w:rFonts w:ascii="Garamond" w:hAnsi="Garamond" w:eastAsia="Times New Roman" w:cs="Garamond"/>
      <w:b/>
      <w:caps/>
      <w:color w:val="auto"/>
      <w:spacing w:val="20"/>
      <w:sz w:val="18"/>
      <w:szCs w:val="20"/>
      <w:lang w:val="en-US" w:eastAsia="zh-CN" w:bidi="hi-IN"/>
    </w:rPr>
  </w:style>
  <w:style w:type="paragraph" w:styleId="Closing">
    <w:name w:val="Closing"/>
    <w:basedOn w:val="Normal"/>
    <w:next w:val="Normal"/>
    <w:qFormat/>
    <w:pPr>
      <w:spacing w:lineRule="atLeast" w:line="220"/>
    </w:pPr>
    <w:rPr>
      <w:rFonts w:ascii="Garamond" w:hAnsi="Garamond" w:cs="Garamond"/>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2000-06-21T11:07:00Z</dcterms:created>
  <dc:creator>eecc</dc:creator>
  <dc:description/>
  <dc:language>en-CA</dc:language>
  <cp:lastModifiedBy>eecc</cp:lastModifiedBy>
  <dcterms:modified xsi:type="dcterms:W3CDTF">2000-06-21T12:53:00Z</dcterms:modified>
  <cp:revision>7</cp:revision>
  <dc:subject/>
  <dc:title>ENRON JAPAN WEEKLY UPDATE</dc:title>
</cp:coreProperties>
</file>