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rPr/>
      </w:pPr>
      <w:r>
        <w:rPr/>
        <w:t>Enron Japan weekly update</w:t>
      </w:r>
    </w:p>
    <w:p>
      <w:pPr>
        <w:pStyle w:val="Heading1"/>
        <w:ind w:hanging="0" w:start="0"/>
        <w:rPr/>
      </w:pPr>
      <w:r>
        <w:rPr/>
        <w:t>Week: June 5 – June 9, 2000</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John Ambler-</w:t>
            </w:r>
          </w:p>
          <w:p>
            <w:pPr>
              <w:pStyle w:val="Normal"/>
              <w:rPr>
                <w:b/>
                <w:sz w:val="28"/>
              </w:rPr>
            </w:pPr>
            <w:r>
              <w:rPr>
                <w:b/>
                <w:sz w:val="28"/>
              </w:rPr>
              <w:t>“</w:t>
            </w:r>
            <w:r>
              <w:rPr>
                <w:b/>
                <w:sz w:val="28"/>
              </w:rPr>
              <w:t>Public Relations”</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11"/>
              </w:numPr>
              <w:spacing w:before="0" w:after="240"/>
              <w:rPr>
                <w:sz w:val="24"/>
              </w:rPr>
            </w:pPr>
            <w:r>
              <w:rPr>
                <w:sz w:val="24"/>
              </w:rPr>
              <w:t xml:space="preserve">Managing/containing nine outstanding media inquiries. Moved forward PR manager candidate past interviews to HR review.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10"/>
              </w:numPr>
              <w:spacing w:before="0" w:after="240"/>
              <w:rPr>
                <w:sz w:val="24"/>
              </w:rPr>
            </w:pPr>
            <w:r>
              <w:rPr>
                <w:sz w:val="24"/>
              </w:rPr>
              <w:t>Directly handle and/or schedule outstanding media requests. Complete job specs for PR manager and progress to offer. Coordinate with IT and O’Day on internet site. Develop press release and plan for Asian weather derivatives launch, including publicity for Japan aspect.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Loretta Brelsford –</w:t>
            </w:r>
          </w:p>
          <w:p>
            <w:pPr>
              <w:pStyle w:val="Normal"/>
              <w:rPr>
                <w:b/>
                <w:sz w:val="28"/>
              </w:rPr>
            </w:pPr>
            <w:r>
              <w:rPr>
                <w:b/>
                <w:sz w:val="28"/>
              </w:rPr>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2"/>
              </w:numPr>
              <w:spacing w:before="0" w:after="240"/>
              <w:rPr>
                <w:sz w:val="24"/>
              </w:rPr>
            </w:pPr>
            <w:r>
              <w:rPr>
                <w:sz w:val="24"/>
              </w:rPr>
              <w:t>Still on target for July 3 move-in date Fox contract – signature process underway…waiting for new Project Schedule from Fox. Continued negotiation of AV equipment. Confirmed trader phones will be there…will install as soon as desk in</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Next Week:</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8"/>
              </w:numPr>
              <w:spacing w:before="0" w:after="240"/>
              <w:rPr>
                <w:sz w:val="24"/>
              </w:rPr>
            </w:pPr>
            <w:r>
              <w:rPr>
                <w:sz w:val="24"/>
              </w:rPr>
              <w:t>Prepare “who is in Tokyo and when” list (non-EJ staff). Place order for AV/video teleconferencing. Finalize Takenaka contract (meeting w/B&amp;M, Fox, Takenaka being arranged)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Outstanding Issues</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6"/>
              </w:numPr>
              <w:spacing w:before="0" w:after="240"/>
              <w:rPr>
                <w:sz w:val="24"/>
              </w:rPr>
            </w:pPr>
            <w:r>
              <w:rPr>
                <w:sz w:val="24"/>
              </w:rPr>
              <w:t>Phone numbers. Copy machine/fax/shredder.  Business Card scanner (getting input from PTS)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Archie Eubanks –</w:t>
            </w:r>
          </w:p>
          <w:p>
            <w:pPr>
              <w:pStyle w:val="Heading1"/>
              <w:ind w:hanging="0" w:start="0"/>
              <w:rPr/>
            </w:pPr>
            <w:r>
              <w:rPr/>
              <w:t>“</w:t>
            </w:r>
            <w:r>
              <w:rPr/>
              <w:t>Accounting”</w:t>
            </w:r>
          </w:p>
        </w:tc>
        <w:tc>
          <w:tcPr>
            <w:tcW w:w="4428" w:type="dxa"/>
            <w:tcBorders>
              <w:top w:val="single" w:sz="4" w:space="0" w:color="000000"/>
              <w:start w:val="single" w:sz="4" w:space="0" w:color="000000"/>
              <w:bottom w:val="single" w:sz="4" w:space="0" w:color="000000"/>
              <w:end w:val="single" w:sz="4" w:space="0" w:color="000000"/>
            </w:tcBorders>
          </w:tcPr>
          <w:p>
            <w:pPr>
              <w:pStyle w:val="BodyText"/>
              <w:numPr>
                <w:ilvl w:val="0"/>
                <w:numId w:val="13"/>
              </w:numPr>
              <w:spacing w:before="0" w:after="240"/>
              <w:rPr>
                <w:sz w:val="24"/>
              </w:rPr>
            </w:pPr>
            <w:r>
              <w:rPr>
                <w:sz w:val="24"/>
              </w:rPr>
              <w:t>Initiated introductory meetings between Bekeng and Houston accounting, tax, treasury and information technology staffs. Received updated staffing assumptions from Gilchrist. Updated budget to be reviewed with Bekeng and forwarded to Hirl by end of week. Payments made this week (primarily related to legal fees and office expenses):</w:t>
            </w:r>
          </w:p>
        </w:tc>
      </w:tr>
    </w:tbl>
    <w:p>
      <w:pPr>
        <w:pStyle w:val="Normal"/>
        <w:rPr/>
      </w:pPr>
      <w:r>
        <w:rPr/>
      </w:r>
    </w:p>
    <w:p>
      <w:pPr>
        <w:pStyle w:val="Normal"/>
        <w:rPr/>
      </w:pPr>
      <w:r>
        <w:rPr/>
      </w:r>
    </w:p>
    <w:tbl>
      <w:tblPr>
        <w:tblW w:w="8856" w:type="dxa"/>
        <w:jc w:val="start"/>
        <w:tblInd w:w="-78" w:type="dxa"/>
        <w:tblLayout w:type="fixed"/>
        <w:tblCellMar>
          <w:top w:w="0" w:type="dxa"/>
          <w:start w:w="30" w:type="dxa"/>
          <w:bottom w:w="0" w:type="dxa"/>
          <w:end w:w="30" w:type="dxa"/>
        </w:tblCellMar>
      </w:tblPr>
      <w:tblGrid>
        <w:gridCol w:w="2340"/>
        <w:gridCol w:w="2070"/>
        <w:gridCol w:w="18"/>
        <w:gridCol w:w="342"/>
        <w:gridCol w:w="2430"/>
        <w:gridCol w:w="1620"/>
        <w:gridCol w:w="36"/>
      </w:tblGrid>
      <w:tr>
        <w:trPr>
          <w:trHeight w:val="230" w:hRule="atLeast"/>
        </w:trPr>
        <w:tc>
          <w:tcPr>
            <w:tcW w:w="234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Vendor</w:t>
            </w:r>
          </w:p>
        </w:tc>
        <w:tc>
          <w:tcPr>
            <w:tcW w:w="2430" w:type="dxa"/>
            <w:gridSpan w:val="3"/>
            <w:tcBorders>
              <w:top w:val="single" w:sz="6" w:space="0" w:color="000000"/>
              <w:start w:val="single" w:sz="6" w:space="0" w:color="000000"/>
              <w:end w:val="single" w:sz="6"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Description</w:t>
            </w:r>
          </w:p>
        </w:tc>
        <w:tc>
          <w:tcPr>
            <w:tcW w:w="243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JPY</w:t>
            </w:r>
          </w:p>
        </w:tc>
        <w:tc>
          <w:tcPr>
            <w:tcW w:w="1620" w:type="dxa"/>
            <w:tcBorders>
              <w:top w:val="single" w:sz="6" w:space="0" w:color="000000"/>
              <w:start w:val="single" w:sz="6" w:space="0" w:color="000000"/>
              <w:end w:val="single" w:sz="6" w:space="0" w:color="000000"/>
            </w:tcBorders>
          </w:tcPr>
          <w:p>
            <w:pPr>
              <w:pStyle w:val="Normal"/>
              <w:jc w:val="center"/>
              <w:rPr>
                <w:rFonts w:ascii="Arial" w:hAnsi="Arial" w:cs="Arial"/>
                <w:b/>
                <w:color w:val="000000"/>
                <w:sz w:val="16"/>
                <w:lang w:eastAsia="en-US"/>
              </w:rPr>
            </w:pPr>
            <w:r>
              <w:rPr>
                <w:rFonts w:cs="Arial" w:ascii="Arial" w:hAnsi="Arial"/>
                <w:b/>
                <w:color w:val="000000"/>
                <w:sz w:val="16"/>
                <w:lang w:eastAsia="en-US"/>
              </w:rPr>
              <w:t>USD</w:t>
            </w:r>
          </w:p>
        </w:tc>
      </w:tr>
      <w:tr>
        <w:trPr>
          <w:trHeight w:val="230" w:hRule="atLeast"/>
        </w:trPr>
        <w:tc>
          <w:tcPr>
            <w:tcW w:w="2340" w:type="dxa"/>
            <w:tcBorders>
              <w:top w:val="single" w:sz="6" w:space="0" w:color="000000"/>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McLagan Partners Asia, Inc</w:t>
            </w:r>
          </w:p>
        </w:tc>
        <w:tc>
          <w:tcPr>
            <w:tcW w:w="2430" w:type="dxa"/>
            <w:gridSpan w:val="3"/>
            <w:tcBorders>
              <w:top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1999 Tokyo Surveys</w:t>
            </w:r>
          </w:p>
        </w:tc>
        <w:tc>
          <w:tcPr>
            <w:tcW w:w="2430" w:type="dxa"/>
            <w:tcBorders>
              <w:top w:val="single" w:sz="6"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447,800.00 </w:t>
            </w:r>
          </w:p>
        </w:tc>
        <w:tc>
          <w:tcPr>
            <w:tcW w:w="1620" w:type="dxa"/>
            <w:tcBorders>
              <w:top w:val="single" w:sz="6" w:space="0" w:color="000000"/>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34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Baker &amp; McKenzie</w:t>
            </w:r>
          </w:p>
        </w:tc>
        <w:tc>
          <w:tcPr>
            <w:tcW w:w="243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Services - April 2000</w:t>
            </w:r>
          </w:p>
        </w:tc>
        <w:tc>
          <w:tcPr>
            <w:tcW w:w="243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13,307,973.00 </w:t>
            </w:r>
          </w:p>
        </w:tc>
        <w:tc>
          <w:tcPr>
            <w:tcW w:w="162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34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PTS</w:t>
            </w:r>
          </w:p>
        </w:tc>
        <w:tc>
          <w:tcPr>
            <w:tcW w:w="243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Communication Services</w:t>
            </w:r>
          </w:p>
        </w:tc>
        <w:tc>
          <w:tcPr>
            <w:tcW w:w="243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291,249.00 </w:t>
            </w:r>
          </w:p>
        </w:tc>
        <w:tc>
          <w:tcPr>
            <w:tcW w:w="162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34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Regus Japan K. K.</w:t>
            </w:r>
          </w:p>
        </w:tc>
        <w:tc>
          <w:tcPr>
            <w:tcW w:w="243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Office &amp; Telecom Expenses</w:t>
            </w:r>
          </w:p>
        </w:tc>
        <w:tc>
          <w:tcPr>
            <w:tcW w:w="243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1,520,354.00 </w:t>
            </w:r>
          </w:p>
        </w:tc>
        <w:tc>
          <w:tcPr>
            <w:tcW w:w="162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34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Tsunashima Co. Ltd.</w:t>
            </w:r>
          </w:p>
        </w:tc>
        <w:tc>
          <w:tcPr>
            <w:tcW w:w="243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Jim Pyke - Rent &amp; Deposit</w:t>
            </w:r>
          </w:p>
        </w:tc>
        <w:tc>
          <w:tcPr>
            <w:tcW w:w="243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813,400.00 </w:t>
            </w:r>
          </w:p>
        </w:tc>
        <w:tc>
          <w:tcPr>
            <w:tcW w:w="162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34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Sagawa Kyubin</w:t>
            </w:r>
          </w:p>
        </w:tc>
        <w:tc>
          <w:tcPr>
            <w:tcW w:w="243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Document Mailing Fee</w:t>
            </w:r>
          </w:p>
        </w:tc>
        <w:tc>
          <w:tcPr>
            <w:tcW w:w="2430" w:type="dxa"/>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67,694.00 </w:t>
            </w:r>
          </w:p>
        </w:tc>
        <w:tc>
          <w:tcPr>
            <w:tcW w:w="1620" w:type="dxa"/>
            <w:tcBorders>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30" w:hRule="atLeast"/>
        </w:trPr>
        <w:tc>
          <w:tcPr>
            <w:tcW w:w="2340" w:type="dxa"/>
            <w:tcBorders>
              <w:start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430" w:type="dxa"/>
            <w:gridSpan w:val="3"/>
            <w:tcBorders/>
          </w:tcPr>
          <w:p>
            <w:pPr>
              <w:pStyle w:val="Normal"/>
              <w:rPr>
                <w:rFonts w:ascii="Arial" w:hAnsi="Arial" w:cs="Arial"/>
                <w:b/>
                <w:color w:val="000000"/>
                <w:sz w:val="16"/>
                <w:lang w:eastAsia="en-US"/>
              </w:rPr>
            </w:pPr>
            <w:r>
              <w:rPr>
                <w:rFonts w:cs="Arial" w:ascii="Arial" w:hAnsi="Arial"/>
                <w:b/>
                <w:color w:val="000000"/>
                <w:sz w:val="16"/>
                <w:lang w:eastAsia="en-US"/>
              </w:rPr>
              <w:t>Total Yen</w:t>
            </w:r>
          </w:p>
        </w:tc>
        <w:tc>
          <w:tcPr>
            <w:tcW w:w="2430" w:type="dxa"/>
            <w:tcBorders/>
          </w:tcPr>
          <w:p>
            <w:pPr>
              <w:pStyle w:val="Normal"/>
              <w:jc w:val="end"/>
              <w:rPr>
                <w:rFonts w:ascii="Arial" w:hAnsi="Arial" w:cs="Arial"/>
                <w:b/>
                <w:color w:val="000000"/>
                <w:sz w:val="16"/>
                <w:lang w:eastAsia="en-US"/>
              </w:rPr>
            </w:pPr>
            <w:r>
              <w:rPr>
                <w:rFonts w:cs="Arial" w:ascii="Arial" w:hAnsi="Arial"/>
                <w:b/>
                <w:color w:val="000000"/>
                <w:sz w:val="16"/>
                <w:lang w:eastAsia="en-US"/>
              </w:rPr>
              <w:t xml:space="preserve">JPY 16,448,470.00 </w:t>
            </w:r>
          </w:p>
        </w:tc>
        <w:tc>
          <w:tcPr>
            <w:tcW w:w="1620" w:type="dxa"/>
            <w:tcBorders>
              <w:end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73" w:hRule="atLeast"/>
        </w:trPr>
        <w:tc>
          <w:tcPr>
            <w:tcW w:w="2340" w:type="dxa"/>
            <w:tcBorders>
              <w:start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430" w:type="dxa"/>
            <w:gridSpan w:val="3"/>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2430"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620" w:type="dxa"/>
            <w:tcBorders>
              <w:end w:val="single" w:sz="6" w:space="0" w:color="000000"/>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230" w:hRule="atLeast"/>
        </w:trPr>
        <w:tc>
          <w:tcPr>
            <w:tcW w:w="2340" w:type="dxa"/>
            <w:tcBorders>
              <w:start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Vinson &amp; Elkins</w:t>
            </w:r>
          </w:p>
        </w:tc>
        <w:tc>
          <w:tcPr>
            <w:tcW w:w="243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Services thru April 2000</w:t>
            </w:r>
          </w:p>
        </w:tc>
        <w:tc>
          <w:tcPr>
            <w:tcW w:w="2430" w:type="dxa"/>
            <w:tcBorders/>
          </w:tcPr>
          <w:p>
            <w:pPr>
              <w:pStyle w:val="Normal"/>
              <w:rPr>
                <w:rFonts w:ascii="Arial" w:hAnsi="Arial" w:eastAsia="Arial" w:cs="Arial"/>
                <w:color w:val="000000"/>
                <w:sz w:val="16"/>
                <w:lang w:eastAsia="en-US"/>
              </w:rPr>
            </w:pPr>
            <w:r>
              <w:rPr>
                <w:rFonts w:eastAsia="Arial" w:cs="Arial" w:ascii="Arial" w:hAnsi="Arial"/>
                <w:color w:val="000000"/>
                <w:sz w:val="16"/>
                <w:lang w:eastAsia="en-US"/>
              </w:rPr>
              <w:t xml:space="preserve"> </w:t>
            </w:r>
          </w:p>
        </w:tc>
        <w:tc>
          <w:tcPr>
            <w:tcW w:w="1620" w:type="dxa"/>
            <w:tcBorders>
              <w:end w:val="single" w:sz="6" w:space="0" w:color="000000"/>
            </w:tcBorders>
          </w:tcPr>
          <w:p>
            <w:pPr>
              <w:pStyle w:val="Normal"/>
              <w:jc w:val="end"/>
              <w:rPr>
                <w:rFonts w:ascii="Arial" w:hAnsi="Arial" w:cs="Arial"/>
                <w:color w:val="000000"/>
                <w:sz w:val="16"/>
                <w:lang w:eastAsia="en-US"/>
              </w:rPr>
            </w:pPr>
            <w:r>
              <w:rPr>
                <w:rFonts w:cs="Arial" w:ascii="Arial" w:hAnsi="Arial"/>
                <w:color w:val="000000"/>
                <w:sz w:val="16"/>
                <w:lang w:eastAsia="en-US"/>
              </w:rPr>
              <w:t xml:space="preserve">26,681.99 </w:t>
            </w:r>
          </w:p>
        </w:tc>
      </w:tr>
      <w:tr>
        <w:trPr>
          <w:trHeight w:val="230" w:hRule="atLeast"/>
        </w:trPr>
        <w:tc>
          <w:tcPr>
            <w:tcW w:w="2340" w:type="dxa"/>
            <w:tcBorders>
              <w:start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430" w:type="dxa"/>
            <w:gridSpan w:val="3"/>
            <w:tcBorders/>
          </w:tcPr>
          <w:p>
            <w:pPr>
              <w:pStyle w:val="Normal"/>
              <w:rPr>
                <w:rFonts w:ascii="Arial" w:hAnsi="Arial" w:cs="Arial"/>
                <w:b/>
                <w:color w:val="000000"/>
                <w:sz w:val="16"/>
                <w:lang w:eastAsia="en-US"/>
              </w:rPr>
            </w:pPr>
            <w:r>
              <w:rPr>
                <w:rFonts w:cs="Arial" w:ascii="Arial" w:hAnsi="Arial"/>
                <w:b/>
                <w:color w:val="000000"/>
                <w:sz w:val="16"/>
                <w:lang w:eastAsia="en-US"/>
              </w:rPr>
              <w:t>Total USD</w:t>
            </w:r>
          </w:p>
        </w:tc>
        <w:tc>
          <w:tcPr>
            <w:tcW w:w="2430"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620" w:type="dxa"/>
            <w:tcBorders>
              <w:end w:val="single" w:sz="6" w:space="0" w:color="000000"/>
            </w:tcBorders>
          </w:tcPr>
          <w:p>
            <w:pPr>
              <w:pStyle w:val="Normal"/>
              <w:jc w:val="end"/>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xml:space="preserve">$         26,681.99 </w:t>
            </w:r>
          </w:p>
        </w:tc>
      </w:tr>
      <w:tr>
        <w:trPr>
          <w:trHeight w:val="908" w:hRule="atLeast"/>
        </w:trPr>
        <w:tc>
          <w:tcPr>
            <w:tcW w:w="4428"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BodyText"/>
              <w:spacing w:before="0" w:after="240"/>
              <w:rPr>
                <w:b/>
                <w:sz w:val="28"/>
              </w:rPr>
            </w:pPr>
            <w:r>
              <w:rPr>
                <w:b/>
                <w:sz w:val="28"/>
              </w:rPr>
              <w:t>Next Week:</w:t>
            </w:r>
          </w:p>
        </w:tc>
        <w:tc>
          <w:tcPr>
            <w:tcW w:w="4428"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BodyText"/>
              <w:numPr>
                <w:ilvl w:val="0"/>
                <w:numId w:val="3"/>
              </w:numPr>
              <w:spacing w:before="0" w:after="240"/>
              <w:rPr>
                <w:sz w:val="24"/>
              </w:rPr>
            </w:pPr>
            <w:r>
              <w:rPr>
                <w:sz w:val="24"/>
              </w:rPr>
              <w:t>Complete process of setting up legal entity books on Houston SAP System. Monthly/Quarterly Reporting requirements</w:t>
            </w:r>
          </w:p>
        </w:tc>
      </w:tr>
      <w:tr>
        <w:trPr/>
        <w:tc>
          <w:tcPr>
            <w:tcW w:w="4428"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b/>
                <w:sz w:val="28"/>
              </w:rPr>
            </w:pPr>
            <w:r>
              <w:rPr>
                <w:b/>
                <w:sz w:val="28"/>
              </w:rPr>
              <w:t>Susan Musch –</w:t>
            </w:r>
          </w:p>
          <w:p>
            <w:pPr>
              <w:pStyle w:val="Normal"/>
              <w:rPr>
                <w:b/>
                <w:sz w:val="28"/>
              </w:rPr>
            </w:pPr>
            <w:r>
              <w:rPr>
                <w:b/>
                <w:sz w:val="28"/>
              </w:rPr>
              <w:t>“</w:t>
            </w:r>
            <w:r>
              <w:rPr>
                <w:b/>
                <w:sz w:val="28"/>
              </w:rPr>
              <w:t>Tax”</w:t>
            </w:r>
          </w:p>
        </w:tc>
        <w:tc>
          <w:tcPr>
            <w:tcW w:w="4428"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BodyText"/>
              <w:numPr>
                <w:ilvl w:val="0"/>
                <w:numId w:val="7"/>
              </w:numPr>
              <w:spacing w:before="0" w:after="240"/>
              <w:jc w:val="both"/>
              <w:rPr>
                <w:sz w:val="24"/>
              </w:rPr>
            </w:pPr>
            <w:r>
              <w:rPr>
                <w:sz w:val="24"/>
              </w:rPr>
              <w:t xml:space="preserve">Met with Jan-Erland Bekeng to discuss tax issues relating to the Japanese trading office. Power Contract Documentation – Continuing to work on Japanese consumption tax issues with Michael Grimes and AA-Tokyo. </w:t>
            </w:r>
          </w:p>
        </w:tc>
      </w:tr>
      <w:tr>
        <w:trPr/>
        <w:tc>
          <w:tcPr>
            <w:tcW w:w="4428"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b/>
                <w:sz w:val="28"/>
              </w:rPr>
            </w:pPr>
            <w:r>
              <w:rPr>
                <w:b/>
                <w:sz w:val="28"/>
              </w:rPr>
              <w:t>Next Week:</w:t>
            </w:r>
          </w:p>
        </w:tc>
        <w:tc>
          <w:tcPr>
            <w:tcW w:w="4428"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BodyText"/>
              <w:numPr>
                <w:ilvl w:val="0"/>
                <w:numId w:val="14"/>
              </w:numPr>
              <w:spacing w:before="0" w:after="120"/>
              <w:jc w:val="both"/>
              <w:rPr>
                <w:sz w:val="24"/>
              </w:rPr>
            </w:pPr>
            <w:r>
              <w:rPr>
                <w:sz w:val="24"/>
              </w:rPr>
              <w:t>Continue working on funding of the Japanese trading entities. Pursue steps to set up TK arrangements for Japanese entities</w:t>
            </w:r>
          </w:p>
        </w:tc>
      </w:tr>
      <w:tr>
        <w:trPr>
          <w:trHeight w:val="230" w:hRule="atLeast"/>
        </w:trPr>
        <w:tc>
          <w:tcPr>
            <w:tcW w:w="4410"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Outstanding Issues</w:t>
            </w:r>
          </w:p>
        </w:tc>
        <w:tc>
          <w:tcPr>
            <w:tcW w:w="4410" w:type="dxa"/>
            <w:gridSpan w:val="4"/>
            <w:tcBorders>
              <w:top w:val="single" w:sz="4" w:space="0" w:color="000000"/>
              <w:start w:val="single" w:sz="4" w:space="0" w:color="000000"/>
              <w:bottom w:val="single" w:sz="4" w:space="0" w:color="000000"/>
              <w:end w:val="single" w:sz="4" w:space="0" w:color="000000"/>
            </w:tcBorders>
          </w:tcPr>
          <w:p>
            <w:pPr>
              <w:pStyle w:val="BodyText"/>
              <w:numPr>
                <w:ilvl w:val="0"/>
                <w:numId w:val="12"/>
              </w:numPr>
              <w:spacing w:before="0" w:after="240"/>
              <w:jc w:val="both"/>
              <w:rPr>
                <w:sz w:val="24"/>
              </w:rPr>
            </w:pPr>
            <w:r>
              <w:rPr>
                <w:sz w:val="24"/>
              </w:rPr>
              <w:t>Implementation of the TK structure. Work on setting up service agreement for services being performed by Enron Japan KK for Enron Marketing KK.</w:t>
            </w:r>
          </w:p>
        </w:tc>
      </w:tr>
      <w:tr>
        <w:trPr>
          <w:trHeight w:val="1385" w:hRule="atLeast"/>
        </w:trPr>
        <w:tc>
          <w:tcPr>
            <w:tcW w:w="4410"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Nick O’Day-</w:t>
            </w:r>
          </w:p>
          <w:p>
            <w:pPr>
              <w:pStyle w:val="Heading2"/>
              <w:ind w:hanging="0" w:start="0"/>
              <w:rPr/>
            </w:pPr>
            <w:r>
              <w:rPr/>
              <w:t>“</w:t>
            </w:r>
            <w:r>
              <w:rPr/>
              <w:t>Regulatory/Government Affairs”</w:t>
            </w:r>
          </w:p>
        </w:tc>
        <w:tc>
          <w:tcPr>
            <w:tcW w:w="4410" w:type="dxa"/>
            <w:gridSpan w:val="4"/>
            <w:tcBorders>
              <w:top w:val="single" w:sz="4" w:space="0" w:color="000000"/>
              <w:start w:val="single" w:sz="4" w:space="0" w:color="000000"/>
              <w:bottom w:val="single" w:sz="4" w:space="0" w:color="000000"/>
              <w:end w:val="single" w:sz="4" w:space="0" w:color="000000"/>
            </w:tcBorders>
          </w:tcPr>
          <w:p>
            <w:pPr>
              <w:pStyle w:val="BodyText"/>
              <w:numPr>
                <w:ilvl w:val="0"/>
                <w:numId w:val="9"/>
              </w:numPr>
              <w:spacing w:before="0" w:after="240"/>
              <w:rPr>
                <w:b/>
                <w:sz w:val="24"/>
              </w:rPr>
            </w:pPr>
            <w:r>
              <w:rPr>
                <w:sz w:val="24"/>
              </w:rPr>
              <w:t>Schroeder visit. International Trade Commission ITC meeting. Meeting with Suetsugu - Federation of Electric Power Utilities re inter utility market. East Asia Public Affairs Meeting</w:t>
            </w:r>
          </w:p>
        </w:tc>
      </w:tr>
      <w:tr>
        <w:trPr>
          <w:trHeight w:val="647" w:hRule="atLeast"/>
        </w:trPr>
        <w:tc>
          <w:tcPr>
            <w:tcW w:w="4410"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Upcoming Week:</w:t>
            </w:r>
          </w:p>
        </w:tc>
        <w:tc>
          <w:tcPr>
            <w:tcW w:w="4410" w:type="dxa"/>
            <w:gridSpan w:val="4"/>
            <w:tcBorders>
              <w:top w:val="single" w:sz="4" w:space="0" w:color="000000"/>
              <w:start w:val="single" w:sz="4" w:space="0" w:color="000000"/>
              <w:bottom w:val="single" w:sz="4" w:space="0" w:color="000000"/>
              <w:end w:val="single" w:sz="4" w:space="0" w:color="000000"/>
            </w:tcBorders>
          </w:tcPr>
          <w:p>
            <w:pPr>
              <w:pStyle w:val="BodyText"/>
              <w:numPr>
                <w:ilvl w:val="0"/>
                <w:numId w:val="5"/>
              </w:numPr>
              <w:spacing w:before="0" w:after="240"/>
              <w:rPr>
                <w:b/>
                <w:sz w:val="24"/>
              </w:rPr>
            </w:pPr>
            <w:r>
              <w:rPr>
                <w:sz w:val="24"/>
              </w:rPr>
              <w:t>Meeting with Kansai electric re WSA/ PSA. EJ website development</w:t>
            </w:r>
          </w:p>
        </w:tc>
      </w:tr>
      <w:tr>
        <w:trPr>
          <w:trHeight w:val="230" w:hRule="atLeast"/>
        </w:trPr>
        <w:tc>
          <w:tcPr>
            <w:tcW w:w="4410" w:type="dxa"/>
            <w:gridSpan w:val="2"/>
            <w:tcBorders>
              <w:top w:val="single" w:sz="4" w:space="0" w:color="000000"/>
              <w:start w:val="single" w:sz="4" w:space="0" w:color="000000"/>
              <w:bottom w:val="single" w:sz="4" w:space="0" w:color="000000"/>
              <w:end w:val="single" w:sz="4" w:space="0" w:color="000000"/>
            </w:tcBorders>
          </w:tcPr>
          <w:p>
            <w:pPr>
              <w:pStyle w:val="Normal"/>
              <w:rPr>
                <w:b/>
                <w:sz w:val="28"/>
              </w:rPr>
            </w:pPr>
            <w:r>
              <w:rPr>
                <w:b/>
                <w:sz w:val="28"/>
              </w:rPr>
              <w:t>Other:</w:t>
            </w:r>
          </w:p>
        </w:tc>
        <w:tc>
          <w:tcPr>
            <w:tcW w:w="4410" w:type="dxa"/>
            <w:gridSpan w:val="4"/>
            <w:tcBorders>
              <w:top w:val="single" w:sz="4" w:space="0" w:color="000000"/>
              <w:start w:val="single" w:sz="4" w:space="0" w:color="000000"/>
              <w:bottom w:val="single" w:sz="4" w:space="0" w:color="000000"/>
              <w:end w:val="single" w:sz="4" w:space="0" w:color="000000"/>
            </w:tcBorders>
          </w:tcPr>
          <w:p>
            <w:pPr>
              <w:pStyle w:val="BodyText"/>
              <w:numPr>
                <w:ilvl w:val="0"/>
                <w:numId w:val="4"/>
              </w:numPr>
              <w:spacing w:before="0" w:after="240"/>
              <w:rPr>
                <w:b/>
                <w:sz w:val="24"/>
              </w:rPr>
            </w:pPr>
            <w:r>
              <w:rPr>
                <w:sz w:val="24"/>
              </w:rPr>
              <w:t>Meeting with Mika Watanabe – PR manager. Meeting MG Japan. Meeting with EnCom/ Epower. Third round interviews with GA candidates Meeting Osaka Gas. Clarify position re participation in the inter-utility market</w:t>
            </w:r>
          </w:p>
        </w:tc>
      </w:tr>
    </w:tbl>
    <w:p>
      <w:pPr>
        <w:pStyle w:val="Normal"/>
        <w:rPr>
          <w:b/>
          <w:sz w:val="28"/>
        </w:rPr>
      </w:pPr>
      <w:r>
        <w:rPr>
          <w:b/>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7">
    <w:name w:val="heading 7"/>
    <w:basedOn w:val="Normal"/>
    <w:next w:val="Normal"/>
    <w:qFormat/>
    <w:pPr>
      <w:keepNext w:val="true"/>
      <w:numPr>
        <w:ilvl w:val="6"/>
        <w:numId w:val="1"/>
      </w:numPr>
      <w:tabs>
        <w:tab w:val="left" w:pos="720" w:leader="none"/>
      </w:tabs>
      <w:ind w:hanging="540" w:start="540" w:end="0"/>
      <w:jc w:val="center"/>
      <w:outlineLvl w:val="6"/>
    </w:pPr>
    <w:rPr>
      <w:rFonts w:ascii="Arial" w:hAnsi="Arial" w:cs="Arial"/>
      <w:b/>
      <w:color w:val="000000"/>
      <w:sz w:val="16"/>
      <w:lang w:eastAsia="en-US"/>
    </w:rPr>
  </w:style>
  <w:style w:type="paragraph" w:styleId="Heading8">
    <w:name w:val="heading 8"/>
    <w:basedOn w:val="Normal"/>
    <w:next w:val="Normal"/>
    <w:qFormat/>
    <w:pPr>
      <w:keepNext w:val="true"/>
      <w:numPr>
        <w:ilvl w:val="7"/>
        <w:numId w:val="1"/>
      </w:numPr>
      <w:tabs>
        <w:tab w:val="left" w:pos="720" w:leader="none"/>
      </w:tabs>
      <w:ind w:hanging="120" w:start="60" w:end="0"/>
      <w:outlineLvl w:val="7"/>
    </w:pPr>
    <w:rPr>
      <w:rFonts w:ascii="Arial" w:hAnsi="Arial" w:cs="Arial"/>
      <w:b/>
      <w:color w:val="000000"/>
      <w:sz w:val="16"/>
      <w:lang w:eastAsia="en-US"/>
    </w:rPr>
  </w:style>
  <w:style w:type="paragraph" w:styleId="Heading9">
    <w:name w:val="heading 9"/>
    <w:basedOn w:val="Normal"/>
    <w:next w:val="Normal"/>
    <w:qFormat/>
    <w:pPr>
      <w:keepNext w:val="true"/>
      <w:numPr>
        <w:ilvl w:val="8"/>
        <w:numId w:val="1"/>
      </w:numPr>
      <w:tabs>
        <w:tab w:val="left" w:pos="720" w:leader="none"/>
      </w:tabs>
      <w:ind w:hanging="120" w:start="60" w:end="-536"/>
      <w:jc w:val="center"/>
      <w:outlineLvl w:val="8"/>
    </w:pPr>
    <w:rPr>
      <w:rFonts w:ascii="Arial" w:hAnsi="Arial" w:cs="Arial"/>
      <w:b/>
      <w:color w:val="000000"/>
      <w:sz w:val="16"/>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pPr>
    <w:rPr>
      <w:rFonts w:ascii="Garamond" w:hAnsi="Garamond" w:cs="Garamond"/>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pPr>
    <w:rPr>
      <w:rFonts w:ascii="Garamond" w:hAnsi="Garamond" w:eastAsia="Times New Roman" w:cs="Garamond"/>
      <w:b/>
      <w:caps/>
      <w:color w:val="auto"/>
      <w:spacing w:val="20"/>
      <w:sz w:val="18"/>
      <w:szCs w:val="20"/>
      <w:lang w:val="en-US" w:eastAsia="zh-CN" w:bidi="hi-IN"/>
    </w:rPr>
  </w:style>
  <w:style w:type="paragraph" w:styleId="Closing">
    <w:name w:val="Closing"/>
    <w:basedOn w:val="Normal"/>
    <w:next w:val="Normal"/>
    <w:qFormat/>
    <w:pPr>
      <w:spacing w:lineRule="atLeast" w:line="220"/>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2000-06-15T11:01:00Z</dcterms:created>
  <dc:creator>eecc</dc:creator>
  <dc:description/>
  <dc:language>en-CA</dc:language>
  <cp:lastModifiedBy>eecc</cp:lastModifiedBy>
  <dcterms:modified xsi:type="dcterms:W3CDTF">2000-06-15T11:42:00Z</dcterms:modified>
  <cp:revision>4</cp:revision>
  <dc:subject/>
  <dc:title>ENRON JAPAN WEEKLY UPDATE</dc:title>
</cp:coreProperties>
</file>