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rPr/>
      </w:pPr>
      <w:r>
        <w:rPr/>
        <w:t>Enron Japan weekly update</w:t>
      </w:r>
    </w:p>
    <w:p>
      <w:pPr>
        <w:pStyle w:val="Heading1"/>
        <w:ind w:hanging="0" w:start="0"/>
        <w:rPr/>
      </w:pPr>
      <w:r>
        <w:rPr/>
        <w:t>Week: May 29 – June 2, 2000</w:t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00"/>
        <w:gridCol w:w="1728"/>
        <w:gridCol w:w="1546"/>
        <w:gridCol w:w="2846"/>
        <w:gridCol w:w="36"/>
      </w:tblGrid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Loretta Brelsford –</w:t>
            </w:r>
          </w:p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5"/>
              </w:numPr>
              <w:spacing w:lineRule="auto" w:line="240" w:before="0" w:after="240"/>
              <w:rPr>
                <w:sz w:val="24"/>
              </w:rPr>
            </w:pPr>
            <w:r>
              <w:rPr>
                <w:sz w:val="24"/>
              </w:rPr>
              <w:t>Fox negotiations continuing – hope to finalize paperwork on Friday, signatures early next week. Takenaka negotiations continuing – hope to finalize paperwork early next week, signatures end of next week. Finalized IT room layout. Confirmed 6/19 IT room to be available for equipment installation. Construction work started (demolition completed)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Next Week: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6"/>
              </w:numPr>
              <w:spacing w:lineRule="auto" w:line="240" w:before="0" w:after="240"/>
              <w:rPr>
                <w:sz w:val="24"/>
              </w:rPr>
            </w:pPr>
            <w:r>
              <w:rPr>
                <w:sz w:val="24"/>
              </w:rPr>
              <w:t>Contracts – Fox and Takenaka. Order remaining furniture items (local). Receive final construction pricing. Order UPS equipment. Order AV and Video conference equipment. Compile financial report for Rousseau and Archie. Determine copier/fax vendors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Outstanding Issues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11"/>
              </w:numPr>
              <w:spacing w:lineRule="auto" w:line="240" w:before="0" w:after="240"/>
              <w:rPr>
                <w:sz w:val="24"/>
              </w:rPr>
            </w:pPr>
            <w:r>
              <w:rPr>
                <w:sz w:val="24"/>
              </w:rPr>
              <w:t>Move in date – July 3 if NOTHING GOES WRONG -FYI’s - Fox/PTS/Takenaka have weekly meetings (Wednesday). Fox negotiating budget with Takenaka</w:t>
            </w:r>
            <w:r>
              <w:rPr>
                <w:rFonts w:cs="Arial" w:ascii="Arial" w:hAnsi="Arial"/>
                <w:sz w:val="24"/>
              </w:rPr>
              <w:t>.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Archie Eubanks –</w:t>
            </w:r>
          </w:p>
          <w:p>
            <w:pPr>
              <w:pStyle w:val="Heading1"/>
              <w:ind w:hanging="0" w:start="0"/>
              <w:rPr/>
            </w:pPr>
            <w:r>
              <w:rPr/>
              <w:t>“</w:t>
            </w:r>
            <w:r>
              <w:rPr/>
              <w:t>Accounting”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10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Obtained internal company ID numbers from Enron Corp Secretary’s office for Japan entities – initiated process to set up legal entity books on Houston SAP system. Payments made this week (primarily related to office space and residential leases):</w:t>
            </w:r>
          </w:p>
        </w:tc>
      </w:tr>
      <w:tr>
        <w:trPr>
          <w:trHeight w:val="23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  <w:end w:val="single" w:sz="6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Heading7"/>
              <w:ind w:hanging="120" w:start="60" w:end="-300"/>
              <w:rPr/>
            </w:pPr>
            <w:r>
              <w:rPr/>
              <w:t>Vendor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  <w:start w:val="single" w:sz="6" w:space="0" w:color="000000"/>
              <w:end w:val="single" w:sz="6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Heading9"/>
              <w:rPr/>
            </w:pPr>
            <w:r>
              <w:rPr/>
              <w:t>Description</w:t>
            </w:r>
          </w:p>
        </w:tc>
        <w:tc>
          <w:tcPr>
            <w:tcW w:w="2846" w:type="dxa"/>
            <w:tcBorders>
              <w:top w:val="single" w:sz="4" w:space="0" w:color="000000"/>
              <w:start w:val="single" w:sz="6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0"/>
              <w:jc w:val="center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>JPY</w:t>
            </w:r>
          </w:p>
        </w:tc>
      </w:tr>
      <w:tr>
        <w:trPr>
          <w:trHeight w:val="230" w:hRule="atLeast"/>
        </w:trPr>
        <w:tc>
          <w:tcPr>
            <w:tcW w:w="2700" w:type="dxa"/>
            <w:tcBorders>
              <w:top w:val="single" w:sz="4" w:space="0" w:color="000000"/>
              <w:start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-30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Advance International Lease Inc</w:t>
            </w:r>
          </w:p>
        </w:tc>
        <w:tc>
          <w:tcPr>
            <w:tcW w:w="3274" w:type="dxa"/>
            <w:gridSpan w:val="2"/>
            <w:tcBorders>
              <w:top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-536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Furniture Lease</w:t>
            </w:r>
          </w:p>
        </w:tc>
        <w:tc>
          <w:tcPr>
            <w:tcW w:w="2846" w:type="dxa"/>
            <w:tcBorders>
              <w:top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0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477,217.00 </w:t>
            </w:r>
          </w:p>
        </w:tc>
      </w:tr>
      <w:tr>
        <w:trPr>
          <w:trHeight w:val="230" w:hRule="atLeast"/>
        </w:trPr>
        <w:tc>
          <w:tcPr>
            <w:tcW w:w="2700" w:type="dxa"/>
            <w:tcBorders>
              <w:start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-30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Ken Corp KK</w:t>
            </w:r>
          </w:p>
        </w:tc>
        <w:tc>
          <w:tcPr>
            <w:tcW w:w="3274" w:type="dxa"/>
            <w:gridSpan w:val="2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-536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Deposit, Rent &amp; Agency - Bekeng</w:t>
            </w:r>
          </w:p>
        </w:tc>
        <w:tc>
          <w:tcPr>
            <w:tcW w:w="2846" w:type="dxa"/>
            <w:tcBorders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0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4,460,980.00 </w:t>
            </w:r>
          </w:p>
        </w:tc>
      </w:tr>
      <w:tr>
        <w:trPr>
          <w:trHeight w:val="230" w:hRule="atLeast"/>
        </w:trPr>
        <w:tc>
          <w:tcPr>
            <w:tcW w:w="2700" w:type="dxa"/>
            <w:tcBorders>
              <w:start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-30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Regus Japan K. K</w:t>
            </w:r>
          </w:p>
        </w:tc>
        <w:tc>
          <w:tcPr>
            <w:tcW w:w="3274" w:type="dxa"/>
            <w:gridSpan w:val="2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-536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Temp Office Rent - June 2000</w:t>
            </w:r>
          </w:p>
        </w:tc>
        <w:tc>
          <w:tcPr>
            <w:tcW w:w="2846" w:type="dxa"/>
            <w:tcBorders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0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7,569,450.00 </w:t>
            </w:r>
          </w:p>
        </w:tc>
      </w:tr>
      <w:tr>
        <w:trPr>
          <w:trHeight w:val="230" w:hRule="atLeast"/>
        </w:trPr>
        <w:tc>
          <w:tcPr>
            <w:tcW w:w="2700" w:type="dxa"/>
            <w:tcBorders>
              <w:start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-300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PTS</w:t>
            </w:r>
          </w:p>
        </w:tc>
        <w:tc>
          <w:tcPr>
            <w:tcW w:w="3274" w:type="dxa"/>
            <w:gridSpan w:val="2"/>
            <w:tcBorders/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-536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eastAsia="Arial" w:cs="Arial" w:ascii="Arial" w:hAnsi="Arial"/>
                <w:color w:val="000000"/>
                <w:sz w:val="16"/>
                <w:lang w:eastAsia="en-US"/>
              </w:rPr>
              <w:t xml:space="preserve">  </w:t>
            </w:r>
            <w:r>
              <w:rPr>
                <w:rFonts w:cs="Arial" w:ascii="Arial" w:hAnsi="Arial"/>
                <w:color w:val="000000"/>
                <w:sz w:val="16"/>
                <w:lang w:eastAsia="en-US"/>
              </w:rPr>
              <w:t>Communication Services</w:t>
            </w:r>
          </w:p>
          <w:p>
            <w:pPr>
              <w:pStyle w:val="Normal"/>
              <w:tabs>
                <w:tab w:val="left" w:pos="720" w:leader="none"/>
              </w:tabs>
              <w:ind w:hanging="120" w:start="60" w:end="-536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2846" w:type="dxa"/>
            <w:tcBorders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0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  <w:t xml:space="preserve">980,770.00 </w:t>
            </w:r>
          </w:p>
        </w:tc>
      </w:tr>
      <w:tr>
        <w:trPr>
          <w:trHeight w:val="243" w:hRule="atLeast"/>
        </w:trPr>
        <w:tc>
          <w:tcPr>
            <w:tcW w:w="2700" w:type="dxa"/>
            <w:tcBorders>
              <w:start w:val="single" w:sz="4" w:space="0" w:color="000000"/>
              <w:bottom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snapToGrid w:val="false"/>
              <w:ind w:hanging="120" w:start="60" w:end="-300"/>
              <w:jc w:val="end"/>
              <w:rPr>
                <w:rFonts w:ascii="Arial" w:hAnsi="Arial" w:cs="Arial"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color w:val="000000"/>
                <w:sz w:val="16"/>
                <w:lang w:eastAsia="en-US"/>
              </w:rPr>
            </w:r>
          </w:p>
        </w:tc>
        <w:tc>
          <w:tcPr>
            <w:tcW w:w="3274" w:type="dxa"/>
            <w:gridSpan w:val="2"/>
            <w:tcBorders>
              <w:bottom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Heading8"/>
              <w:ind w:end="-536"/>
              <w:rPr/>
            </w:pPr>
            <w:r>
              <w:rPr>
                <w:rFonts w:eastAsia="Arial"/>
              </w:rPr>
              <w:t xml:space="preserve">  </w:t>
            </w:r>
            <w:r>
              <w:rPr/>
              <w:t>Total Yen</w:t>
            </w:r>
          </w:p>
          <w:p>
            <w:pPr>
              <w:pStyle w:val="Normal"/>
              <w:rPr/>
            </w:pPr>
            <w:r>
              <w:rPr/>
              <w:t xml:space="preserve">  </w:t>
            </w:r>
          </w:p>
        </w:tc>
        <w:tc>
          <w:tcPr>
            <w:tcW w:w="2846" w:type="dxa"/>
            <w:tcBorders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tabs>
                <w:tab w:val="left" w:pos="720" w:leader="none"/>
              </w:tabs>
              <w:ind w:hanging="120" w:start="60" w:end="0"/>
              <w:jc w:val="end"/>
              <w:rPr>
                <w:rFonts w:ascii="Arial" w:hAnsi="Arial" w:cs="Arial"/>
                <w:b/>
                <w:color w:val="000000"/>
                <w:sz w:val="16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sz w:val="16"/>
                <w:lang w:eastAsia="en-US"/>
              </w:rPr>
              <w:t xml:space="preserve">JPY 13,488,417.00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10"/>
        <w:gridCol w:w="18"/>
        <w:gridCol w:w="4392"/>
        <w:gridCol w:w="36"/>
      </w:tblGrid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spacing w:before="0"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Next Week: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2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Introductory meetings for Bekeng with Houston accounting, tax, treasury and information technology staffs. Update budget to reflect actual results for May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Outstanding Issues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7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Takaneka/Enron relationship. UPS for trader desks. Pricing of AV equipment</w:t>
            </w:r>
          </w:p>
        </w:tc>
      </w:tr>
      <w:tr>
        <w:trPr/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Susan Musch –</w:t>
            </w:r>
          </w:p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“</w:t>
            </w:r>
            <w:r>
              <w:rPr>
                <w:b/>
                <w:sz w:val="28"/>
              </w:rPr>
              <w:t>Tax”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numPr>
                <w:ilvl w:val="0"/>
                <w:numId w:val="9"/>
              </w:numPr>
              <w:spacing w:before="0" w:after="2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Power Contract Documentation – Continuing to work on Japanese consumption tax issues with Michael Grimes and AA-Tokyo. </w:t>
            </w:r>
          </w:p>
        </w:tc>
      </w:tr>
      <w:tr>
        <w:trPr>
          <w:trHeight w:val="230" w:hRule="atLeast"/>
        </w:trPr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Next Week: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BodyText"/>
              <w:numPr>
                <w:ilvl w:val="0"/>
                <w:numId w:val="13"/>
              </w:numPr>
              <w:spacing w:before="0" w:after="120"/>
              <w:jc w:val="both"/>
              <w:rPr>
                <w:sz w:val="24"/>
              </w:rPr>
            </w:pPr>
            <w:r>
              <w:rPr>
                <w:sz w:val="24"/>
              </w:rPr>
              <w:t>Continue working on funding of the Japanese trading entities. Pursue steps to set up TK arrangements for Japanese entities.</w:t>
            </w:r>
          </w:p>
        </w:tc>
      </w:tr>
      <w:tr>
        <w:trPr>
          <w:trHeight w:val="230" w:hRule="atLeast"/>
        </w:trPr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Outstanding Issues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BodyText"/>
              <w:numPr>
                <w:ilvl w:val="0"/>
                <w:numId w:val="12"/>
              </w:numPr>
              <w:spacing w:before="0" w:after="240"/>
              <w:rPr>
                <w:sz w:val="24"/>
              </w:rPr>
            </w:pPr>
            <w:r>
              <w:rPr>
                <w:sz w:val="24"/>
              </w:rPr>
              <w:t>Implementation of the TK structure.</w:t>
            </w:r>
          </w:p>
        </w:tc>
      </w:tr>
      <w:tr>
        <w:trPr>
          <w:trHeight w:val="230" w:hRule="atLeast"/>
        </w:trPr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Nick O’Day-</w:t>
            </w:r>
          </w:p>
          <w:p>
            <w:pPr>
              <w:pStyle w:val="Heading2"/>
              <w:ind w:hanging="0" w:start="0"/>
              <w:rPr/>
            </w:pPr>
            <w:r>
              <w:rPr/>
              <w:t>“</w:t>
            </w:r>
            <w:r>
              <w:rPr/>
              <w:t>Regulatory/Government Affairs”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BodyText"/>
              <w:numPr>
                <w:ilvl w:val="0"/>
                <w:numId w:val="8"/>
              </w:numPr>
              <w:spacing w:before="0" w:after="240"/>
              <w:rPr>
                <w:b/>
                <w:sz w:val="24"/>
              </w:rPr>
            </w:pPr>
            <w:r>
              <w:rPr>
                <w:sz w:val="24"/>
              </w:rPr>
              <w:t>Finalized briefing notes for Kean testimony to the International Trade Commission ITC. Agreed response to ITC interview questions with Epower. Meeting with MITI: Kataoka Agreed SSEUB notification procedure. Attending presentation by Kataoka (ACCJ)</w:t>
            </w:r>
          </w:p>
        </w:tc>
      </w:tr>
      <w:tr>
        <w:trPr>
          <w:trHeight w:val="230" w:hRule="atLeast"/>
        </w:trPr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Upcoming Week: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BodyText"/>
              <w:numPr>
                <w:ilvl w:val="0"/>
                <w:numId w:val="3"/>
              </w:numPr>
              <w:spacing w:before="0" w:after="240"/>
              <w:rPr>
                <w:b/>
                <w:sz w:val="24"/>
              </w:rPr>
            </w:pPr>
            <w:r>
              <w:rPr>
                <w:sz w:val="24"/>
              </w:rPr>
              <w:t>Schroeder visit. Finalize WSA annex. ITC interview @ US Embassy. Meetings with APEF, CRIEPI re inter-utility market. East Asia working group meeting</w:t>
            </w:r>
          </w:p>
        </w:tc>
      </w:tr>
      <w:tr>
        <w:trPr>
          <w:trHeight w:val="230" w:hRule="atLeast"/>
        </w:trPr>
        <w:tc>
          <w:tcPr>
            <w:tcW w:w="4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  <w:t>Other: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30" w:type="dxa"/>
              <w:end w:w="30" w:type="dxa"/>
            </w:tcMar>
          </w:tcPr>
          <w:p>
            <w:pPr>
              <w:pStyle w:val="BodyText"/>
              <w:numPr>
                <w:ilvl w:val="0"/>
                <w:numId w:val="4"/>
              </w:numPr>
              <w:spacing w:before="0" w:after="240"/>
              <w:rPr>
                <w:b/>
                <w:sz w:val="24"/>
              </w:rPr>
            </w:pPr>
            <w:r>
              <w:rPr>
                <w:sz w:val="24"/>
              </w:rPr>
              <w:t>Introductory meetings with: Tokyo Boeki. Progressed potential weather deal with IBJ. Introductory meeting with Takanaka. Meeting with E Power: Sloan</w:t>
            </w:r>
          </w:p>
        </w:tc>
      </w:tr>
    </w:tbl>
    <w:p>
      <w:pPr>
        <w:pStyle w:val="Normal"/>
        <w:rPr>
          <w:b/>
          <w:sz w:val="28"/>
        </w:rPr>
      </w:pPr>
      <w:r>
        <w:rPr>
          <w:b/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Garamond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left" w:pos="720" w:leader="none"/>
      </w:tabs>
      <w:ind w:hanging="540" w:start="540" w:end="0"/>
      <w:jc w:val="center"/>
      <w:outlineLvl w:val="6"/>
    </w:pPr>
    <w:rPr>
      <w:rFonts w:ascii="Arial" w:hAnsi="Arial" w:cs="Arial"/>
      <w:b/>
      <w:color w:val="000000"/>
      <w:sz w:val="16"/>
      <w:lang w:eastAsia="en-US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left" w:pos="720" w:leader="none"/>
      </w:tabs>
      <w:ind w:hanging="120" w:start="60" w:end="0"/>
      <w:outlineLvl w:val="7"/>
    </w:pPr>
    <w:rPr>
      <w:rFonts w:ascii="Arial" w:hAnsi="Arial" w:cs="Arial"/>
      <w:b/>
      <w:color w:val="000000"/>
      <w:sz w:val="16"/>
      <w:lang w:eastAsia="en-US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720" w:leader="none"/>
      </w:tabs>
      <w:ind w:hanging="120" w:start="60" w:end="-536"/>
      <w:jc w:val="center"/>
      <w:outlineLvl w:val="8"/>
    </w:pPr>
    <w:rPr>
      <w:rFonts w:ascii="Arial" w:hAnsi="Arial" w:cs="Arial"/>
      <w:b/>
      <w:color w:val="000000"/>
      <w:sz w:val="16"/>
      <w:lang w:eastAsia="en-US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6z1">
    <w:name w:val="WW8Num26z1"/>
    <w:qFormat/>
    <w:rPr>
      <w:rFonts w:ascii="Courier New" w:hAnsi="Courier New" w:cs="Courier New"/>
    </w:rPr>
  </w:style>
  <w:style w:type="character" w:styleId="WW8Num26z2">
    <w:name w:val="WW8Num26z2"/>
    <w:qFormat/>
    <w:rPr>
      <w:rFonts w:ascii="Wingdings" w:hAnsi="Wingdings" w:cs="Wingdings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40" w:before="0" w:after="240"/>
    </w:pPr>
    <w:rPr>
      <w:rFonts w:ascii="Garamond" w:hAnsi="Garamond" w:cs="Garamond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Label">
    <w:name w:val="Document Label"/>
    <w:next w:val="Normal"/>
    <w:qFormat/>
    <w:pPr>
      <w:widowControl/>
      <w:pBdr>
        <w:top w:val="double" w:sz="6" w:space="8" w:color="808080"/>
        <w:bottom w:val="double" w:sz="6" w:space="8" w:color="808080"/>
      </w:pBdr>
      <w:bidi w:val="0"/>
      <w:spacing w:lineRule="atLeast" w:line="240" w:before="0" w:after="40"/>
    </w:pPr>
    <w:rPr>
      <w:rFonts w:ascii="Garamond" w:hAnsi="Garamond" w:eastAsia="Times New Roman" w:cs="Garamond"/>
      <w:b/>
      <w:caps/>
      <w:color w:val="auto"/>
      <w:spacing w:val="20"/>
      <w:sz w:val="18"/>
      <w:szCs w:val="20"/>
      <w:lang w:val="en-US" w:eastAsia="zh-CN" w:bidi="hi-IN"/>
    </w:rPr>
  </w:style>
  <w:style w:type="paragraph" w:styleId="Closing">
    <w:name w:val="Closing"/>
    <w:basedOn w:val="Normal"/>
    <w:next w:val="Normal"/>
    <w:qFormat/>
    <w:pPr>
      <w:spacing w:lineRule="atLeast" w:line="220"/>
    </w:pPr>
    <w:rPr>
      <w:rFonts w:ascii="Garamond" w:hAnsi="Garamond" w:cs="Garamond"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2000-06-06T15:32:00Z</dcterms:created>
  <dc:creator>eecc</dc:creator>
  <dc:description/>
  <dc:language>en-CA</dc:language>
  <cp:lastModifiedBy>eecc</cp:lastModifiedBy>
  <dcterms:modified xsi:type="dcterms:W3CDTF">2000-06-06T18:31:00Z</dcterms:modified>
  <cp:revision>5</cp:revision>
  <dc:subject/>
  <dc:title>ENRON JAPAN WEEKLY UPDATE</dc:title>
</cp:coreProperties>
</file>