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Enron Japan weekly update</w:t>
      </w:r>
    </w:p>
    <w:p>
      <w:pPr>
        <w:pStyle w:val="Heading1"/>
        <w:ind w:hanging="0" w:start="0"/>
        <w:rPr/>
      </w:pPr>
      <w:r>
        <w:rPr/>
        <w:t>Week: May 22-26, 2000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18"/>
        <w:gridCol w:w="4392"/>
        <w:gridCol w:w="36"/>
      </w:tblGrid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John Ambler –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“</w:t>
            </w:r>
            <w:r>
              <w:rPr>
                <w:b/>
                <w:sz w:val="28"/>
              </w:rPr>
              <w:t>Public Relations”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240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 xml:space="preserve">Flow of articles continues from May 12 press release, May 17 &amp; 18 Kitchen/Hirl briefiings and other queries/interviews handled by PR. 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7"/>
              </w:numPr>
              <w:spacing w:before="0" w:after="240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>Handle interview requests from Nikkei and five trade publications.  (Attempting to postpone until July or refocus on E Power.) Update Q&amp;As for use in responding to Nikkei written requests. Follow-up on PR candidate.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9"/>
              </w:numPr>
              <w:spacing w:before="0" w:after="240"/>
              <w:rPr>
                <w:rFonts w:ascii="Arial" w:hAnsi="Arial" w:cs="Arial"/>
                <w:sz w:val="24"/>
              </w:rPr>
            </w:pPr>
            <w:r>
              <w:rPr>
                <w:sz w:val="24"/>
              </w:rPr>
              <w:t>Creation of Enron Japan flier/brochure and translation of corporate profile. Consider Nikkei Business ad.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Loretta Brelsford –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Telecommunications equipment, computer equipment, furniture, and carpet all ordered. IT Room redesigned to fit space. Corporate AMEX application submitted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8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Finalize Fox contract. Finalize Takaneka contract. Continue construction. Secure wire transfer for PTS for NTT service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Takaneka/Enron relationship. UPS for trader desks. Pricing of AV equipment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Susan Musch –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“</w:t>
            </w:r>
            <w:r>
              <w:rPr>
                <w:b/>
                <w:sz w:val="28"/>
              </w:rPr>
              <w:t>Tax”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10"/>
              </w:numPr>
              <w:spacing w:before="0" w:after="240"/>
              <w:rPr/>
            </w:pPr>
            <w:r>
              <w:rPr>
                <w:sz w:val="24"/>
              </w:rPr>
              <w:t>Entity Structuring –- Continuing work with Treasury, Legal and Accounting on the funding of the Japanese trading entities. Power Contract Documentation – Continuing to work on Japanese consumption tax issues with Michael Grimes and AA-Tokyo. Enron Online – Finalizing Japanese tax issues with Baker &amp; McKenzie to ensure that there are no adverse Japanese tax consequences for trading with Japanese customers and confirmed what tax reps the Enron offices should provide.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10"/>
              </w:numPr>
              <w:spacing w:before="0" w:after="240"/>
              <w:rPr/>
            </w:pPr>
            <w:r>
              <w:rPr>
                <w:sz w:val="24"/>
              </w:rPr>
              <w:t>Continue working on funding of the Japanese trading entities. Pursue steps to set up TK arrangements for Japanese entities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Nick O’Day-</w:t>
            </w:r>
          </w:p>
          <w:p>
            <w:pPr>
              <w:pStyle w:val="Heading2"/>
              <w:ind w:hanging="0" w:start="0"/>
              <w:rPr/>
            </w:pPr>
            <w:r>
              <w:rPr/>
              <w:t>“</w:t>
            </w:r>
            <w:r>
              <w:rPr/>
              <w:t>Regulatory/Government Affairs”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Finalized draft PSA. Completed second round interviews for Director Gov’t affairs. Introductory meetings with: DKB, LTCB, Totan Derivatives, West, Nittan Energy. Meeting with Naruse –Kanematsu Oil Singapore. Meeting with ACCJ re membership. Meetings with E Power: Sloan and Kuwabara. New office keys acceptance and briefing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Upcoming Week: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4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Finalize WSA annex. Meeting with Sam Watson, US Embassy. Finalize briefing notes for Kean testimony to the International Trade Commission. Meetings with MITI: Kataoka re SSEUB notification, Kishi (International Affairs) – introductory. Meeting with MOFA: Iwama/Ehara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Other: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6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 xml:space="preserve">Finalize membership with ACCJ. Informal meeting with MG Japan. Introductory meeting with Tokyo Boeki (coal). EPower meetings: Sloan and Kuwabara. ACCJ presentation: Kataoka 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2000-05-25T11:42:00Z</dcterms:created>
  <dc:creator>eecc</dc:creator>
  <dc:description/>
  <dc:language>en-CA</dc:language>
  <cp:lastModifiedBy>eecc</cp:lastModifiedBy>
  <dcterms:modified xsi:type="dcterms:W3CDTF">2000-05-26T19:32:00Z</dcterms:modified>
  <cp:revision>7</cp:revision>
  <dc:subject/>
  <dc:title>ENRON JAPAN WEEKLY UPDATE</dc:title>
</cp:coreProperties>
</file>