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rPr>
          <w:sz w:val="22"/>
        </w:rPr>
      </w:pPr>
      <w:r>
        <w:rPr>
          <w:sz w:val="22"/>
        </w:rPr>
      </w:r>
    </w:p>
    <w:p>
      <w:pPr>
        <w:pStyle w:val="Normal"/>
        <w:rPr>
          <w:sz w:val="22"/>
        </w:rPr>
      </w:pPr>
      <w:r>
        <w:rPr>
          <w:sz w:val="22"/>
        </w:rPr>
        <w:tab/>
        <w:tab/>
      </w:r>
    </w:p>
    <w:p>
      <w:pPr>
        <w:pStyle w:val="Normal"/>
        <w:rPr>
          <w:sz w:val="22"/>
          <w:lang w:eastAsia="ja-JP"/>
        </w:rPr>
      </w:pPr>
      <w:r>
        <w:rPr>
          <w:sz w:val="22"/>
          <w:lang w:eastAsia="ja-JP"/>
        </w:rPr>
      </w:r>
    </w:p>
    <w:p>
      <w:pPr>
        <w:pStyle w:val="Normal"/>
        <w:rPr>
          <w:sz w:val="22"/>
          <w:lang w:eastAsia="ja-JP"/>
        </w:rPr>
      </w:pPr>
      <w:r>
        <w:rPr>
          <w:sz w:val="22"/>
          <w:lang w:eastAsia="ja-JP"/>
        </w:rPr>
      </w:r>
    </w:p>
    <w:p>
      <w:pPr>
        <w:pStyle w:val="Normal"/>
        <w:rPr>
          <w:sz w:val="22"/>
          <w:lang w:eastAsia="ja-JP"/>
        </w:rPr>
      </w:pPr>
      <w:r>
        <w:rPr>
          <w:sz w:val="22"/>
          <w:lang w:eastAsia="ja-JP"/>
        </w:rPr>
      </w:r>
    </w:p>
    <w:p>
      <w:pPr>
        <w:pStyle w:val="Normal"/>
        <w:rPr>
          <w:sz w:val="22"/>
          <w:lang w:eastAsia="ja-JP"/>
        </w:rPr>
      </w:pPr>
      <w:r>
        <w:rPr>
          <w:sz w:val="22"/>
          <w:lang w:eastAsia="ja-JP"/>
        </w:rPr>
      </w:r>
    </w:p>
    <w:p>
      <w:pPr>
        <w:pStyle w:val="Normal"/>
        <w:rPr>
          <w:sz w:val="22"/>
          <w:lang w:eastAsia="ja-JP"/>
        </w:rPr>
      </w:pPr>
      <w:r>
        <w:rPr>
          <w:sz w:val="22"/>
          <w:lang w:eastAsia="ja-JP"/>
        </w:rPr>
      </w:r>
    </w:p>
    <w:p>
      <w:pPr>
        <w:pStyle w:val="Normal"/>
        <w:rPr>
          <w:sz w:val="22"/>
          <w:lang w:eastAsia="ja-JP"/>
        </w:rPr>
      </w:pPr>
      <w:r>
        <w:rPr>
          <w:sz w:val="22"/>
          <w:lang w:eastAsia="ja-JP"/>
        </w:rPr>
      </w:r>
    </w:p>
    <w:p>
      <w:pPr>
        <w:pStyle w:val="Normal"/>
        <w:rPr>
          <w:sz w:val="22"/>
          <w:lang w:eastAsia="ja-JP"/>
        </w:rPr>
      </w:pPr>
      <w:r>
        <w:rPr>
          <w:sz w:val="22"/>
          <w:lang w:eastAsia="ja-JP"/>
        </w:rPr>
      </w:r>
    </w:p>
    <w:p>
      <w:pPr>
        <w:pStyle w:val="Normal"/>
        <w:rPr>
          <w:sz w:val="22"/>
          <w:lang w:eastAsia="ja-JP"/>
        </w:rPr>
      </w:pPr>
      <w:r>
        <w:rPr>
          <w:sz w:val="22"/>
          <w:lang w:eastAsia="ja-JP"/>
        </w:rPr>
      </w:r>
    </w:p>
    <w:p>
      <w:pPr>
        <w:pStyle w:val="Normal"/>
        <w:rPr>
          <w:sz w:val="22"/>
          <w:lang w:eastAsia="ja-JP"/>
        </w:rPr>
      </w:pPr>
      <w:r>
        <w:rPr>
          <w:sz w:val="22"/>
          <w:lang w:eastAsia="ja-JP"/>
        </w:rPr>
      </w:r>
    </w:p>
    <w:p>
      <w:pPr>
        <w:pStyle w:val="Normal"/>
        <w:rPr>
          <w:sz w:val="22"/>
          <w:lang w:eastAsia="ja-JP"/>
        </w:rPr>
      </w:pPr>
      <w:r>
        <w:rPr>
          <w:sz w:val="22"/>
          <w:lang w:eastAsia="ja-JP"/>
        </w:rPr>
      </w:r>
    </w:p>
    <w:p>
      <w:pPr>
        <w:pStyle w:val="Normal"/>
        <w:numPr>
          <w:ilvl w:val="0"/>
          <w:numId w:val="0"/>
        </w:numPr>
        <w:jc w:val="center"/>
        <w:outlineLvl w:val="0"/>
        <w:rPr>
          <w:b/>
          <w:sz w:val="22"/>
        </w:rPr>
      </w:pPr>
      <w:r>
        <w:rPr>
          <w:rFonts w:eastAsia="Times New Roman"/>
          <w:b/>
          <w:sz w:val="22"/>
        </w:rPr>
        <w:t xml:space="preserve"> </w:t>
      </w:r>
      <w:r>
        <w:rPr>
          <w:b/>
          <w:sz w:val="22"/>
        </w:rPr>
        <w:t xml:space="preserve">CONFIRMATION </w:t>
      </w:r>
    </w:p>
    <w:p>
      <w:pPr>
        <w:pStyle w:val="Normal"/>
        <w:numPr>
          <w:ilvl w:val="0"/>
          <w:numId w:val="0"/>
        </w:numPr>
        <w:jc w:val="center"/>
        <w:outlineLvl w:val="0"/>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lang w:eastAsia="ja-JP"/>
        </w:rPr>
        <w:t>October 11, 2001</w:t>
      </w:r>
    </w:p>
    <w:p>
      <w:pPr>
        <w:pStyle w:val="Normal"/>
        <w:rPr>
          <w:sz w:val="22"/>
        </w:rPr>
      </w:pPr>
      <w:r>
        <w:rPr>
          <w:sz w:val="22"/>
        </w:rPr>
        <w:t>To:</w:t>
        <w:tab/>
        <w:tab/>
        <w:tab/>
        <w:tab/>
      </w:r>
      <w:r>
        <w:rPr>
          <w:sz w:val="22"/>
          <w:lang w:eastAsia="ja-JP"/>
        </w:rPr>
        <w:t>Kobayashi Yoko Co., Ltd.</w:t>
      </w:r>
      <w:r>
        <w:rPr>
          <w:sz w:val="22"/>
        </w:rPr>
        <w:t xml:space="preserve"> (“Counterparty”)</w:t>
      </w:r>
      <w:r>
        <w:rPr>
          <w:sz w:val="22"/>
          <w:lang w:eastAsia="ja-JP"/>
        </w:rPr>
        <w:t xml:space="preserve"> </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pPr>
      <w:r>
        <w:rPr>
          <w:sz w:val="22"/>
        </w:rPr>
        <w:t>Fax No.:</w:t>
        <w:tab/>
        <w:tab/>
        <w:tab/>
      </w:r>
      <w:r>
        <w:rPr>
          <w:sz w:val="22"/>
          <w:lang w:eastAsia="ja-JP"/>
        </w:rPr>
        <w:t>03-3669-4397</w:t>
      </w:r>
    </w:p>
    <w:p>
      <w:pPr>
        <w:pStyle w:val="Normal"/>
        <w:numPr>
          <w:ilvl w:val="0"/>
          <w:numId w:val="0"/>
        </w:numPr>
        <w:outlineLvl w:val="0"/>
        <w:rPr/>
      </w:pPr>
      <w:r>
        <w:rPr>
          <w:sz w:val="22"/>
        </w:rPr>
        <w:t>From:</w:t>
        <w:tab/>
        <w:tab/>
        <w:tab/>
        <w:tab/>
      </w:r>
      <w:r>
        <w:rPr>
          <w:sz w:val="22"/>
          <w:lang w:eastAsia="ja-JP"/>
        </w:rPr>
        <w:t>Enron Japan Corp.</w:t>
      </w:r>
      <w:r>
        <w:rPr>
          <w:sz w:val="22"/>
        </w:rPr>
        <w:t xml:space="preserve"> (“E</w:t>
      </w:r>
      <w:r>
        <w:rPr>
          <w:sz w:val="22"/>
          <w:lang w:eastAsia="ja-JP"/>
        </w:rPr>
        <w:t>JC</w:t>
      </w:r>
      <w:r>
        <w:rPr>
          <w:sz w:val="22"/>
        </w:rPr>
        <w:t>”)</w:t>
      </w:r>
    </w:p>
    <w:p>
      <w:pPr>
        <w:pStyle w:val="Normal"/>
        <w:rPr>
          <w:sz w:val="22"/>
        </w:rPr>
      </w:pPr>
      <w:r>
        <w:rPr>
          <w:sz w:val="22"/>
        </w:rPr>
        <w:t>Re:</w:t>
        <w:tab/>
        <w:tab/>
        <w:tab/>
        <w:tab/>
        <w:t xml:space="preserve">Commodity Swap </w:t>
      </w:r>
      <w:r>
        <w:rPr>
          <w:sz w:val="22"/>
          <w:lang w:eastAsia="ja-JP"/>
        </w:rPr>
        <w:t>(</w:t>
      </w:r>
      <w:r>
        <w:rPr>
          <w:sz w:val="22"/>
        </w:rPr>
        <w:t>EJC Ref No.</w:t>
      </w:r>
      <w:r>
        <w:rPr>
          <w:sz w:val="22"/>
          <w:lang w:eastAsia="ja-JP"/>
        </w:rPr>
        <w:t xml:space="preserve"> 270001)</w:t>
      </w:r>
      <w:r>
        <w:rPr>
          <w:sz w:val="22"/>
        </w:rPr>
        <w:fldChar w:fldCharType="begin"/>
      </w:r>
      <w:r>
        <w:rPr>
          <w:sz w:val="22"/>
        </w:rPr>
        <w:instrText xml:space="preserve"> MERGEFIELD DealNumber </w:instrText>
      </w:r>
      <w:r>
        <w:rPr>
          <w:sz w:val="22"/>
        </w:rPr>
        <w:fldChar w:fldCharType="separate"/>
      </w:r>
      <w:r>
        <w:rPr>
          <w:sz w:val="22"/>
        </w:rPr>
      </w:r>
      <w:r>
        <w:rPr>
          <w:sz w:val="22"/>
        </w:rPr>
        <w:fldChar w:fldCharType="end"/>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numPr>
          <w:ilvl w:val="0"/>
          <w:numId w:val="0"/>
        </w:numPr>
        <w:outlineLvl w:val="0"/>
        <w:rPr>
          <w:sz w:val="22"/>
        </w:rPr>
      </w:pPr>
      <w:r>
        <w:rPr>
          <w:b/>
          <w:sz w:val="22"/>
        </w:rPr>
        <w:t>General Terms:</w:t>
      </w:r>
    </w:p>
    <w:p>
      <w:pPr>
        <w:pStyle w:val="Normal"/>
        <w:rPr>
          <w:sz w:val="22"/>
        </w:rPr>
      </w:pPr>
      <w:r>
        <w:rPr>
          <w:sz w:val="22"/>
        </w:rPr>
      </w:r>
    </w:p>
    <w:p>
      <w:pPr>
        <w:pStyle w:val="Norma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ind w:start="720" w:end="0"/>
              <w:rPr>
                <w:sz w:val="22"/>
              </w:rPr>
            </w:pPr>
            <w:r>
              <w:rPr>
                <w:sz w:val="22"/>
              </w:rPr>
              <w:t>Notional Quantity per Determination Period:</w:t>
            </w:r>
          </w:p>
        </w:tc>
        <w:tc>
          <w:tcPr>
            <w:tcW w:w="5670" w:type="dxa"/>
            <w:tcBorders/>
          </w:tcPr>
          <w:p>
            <w:pPr>
              <w:pStyle w:val="Normal"/>
              <w:rPr>
                <w:sz w:val="22"/>
              </w:rPr>
            </w:pPr>
            <w:r>
              <w:rPr>
                <w:sz w:val="22"/>
              </w:rPr>
              <w:fldChar w:fldCharType="begin"/>
            </w:r>
            <w:r>
              <w:rPr>
                <w:sz w:val="22"/>
              </w:rPr>
              <w:instrText xml:space="preserve"> MERGEFIELD QtyPerPeriod </w:instrText>
            </w:r>
            <w:r>
              <w:rPr>
                <w:sz w:val="22"/>
              </w:rPr>
              <w:fldChar w:fldCharType="separate"/>
            </w:r>
            <w:r>
              <w:rPr>
                <w:sz w:val="22"/>
              </w:rPr>
              <w:t>1,988KL (equivalent to 12,500 barrels, using 0.159KL/Barrel, rounded to the closest 100 barrels)</w:t>
            </w:r>
            <w:r>
              <w:rPr>
                <w:sz w:val="22"/>
              </w:rPr>
              <w:fldChar w:fldCharType="end"/>
            </w:r>
          </w:p>
        </w:tc>
      </w:tr>
      <w:tr>
        <w:trPr/>
        <w:tc>
          <w:tcPr>
            <w:tcW w:w="4248" w:type="dxa"/>
            <w:tcBorders/>
          </w:tcPr>
          <w:p>
            <w:pPr>
              <w:pStyle w:val="Normal"/>
              <w:snapToGrid w:val="false"/>
              <w:ind w:start="720" w:end="0"/>
              <w:rPr>
                <w:sz w:val="22"/>
              </w:rPr>
            </w:pPr>
            <w:r>
              <w:rPr>
                <w:sz w:val="22"/>
              </w:rPr>
            </w:r>
          </w:p>
        </w:tc>
        <w:tc>
          <w:tcPr>
            <w:tcW w:w="5670" w:type="dxa"/>
            <w:tcBorders/>
          </w:tcPr>
          <w:p>
            <w:pPr>
              <w:pStyle w:val="Normal"/>
              <w:snapToGrid w:val="false"/>
              <w:jc w:val="both"/>
              <w:rPr>
                <w:sz w:val="22"/>
              </w:rPr>
            </w:pPr>
            <w:r>
              <w:rPr>
                <w:sz w:val="22"/>
              </w:rPr>
            </w:r>
          </w:p>
        </w:tc>
      </w:tr>
      <w:tr>
        <w:trPr/>
        <w:tc>
          <w:tcPr>
            <w:tcW w:w="4248" w:type="dxa"/>
            <w:tcBorders/>
          </w:tcPr>
          <w:p>
            <w:pPr>
              <w:pStyle w:val="Normal"/>
              <w:ind w:start="720" w:end="0"/>
              <w:rPr>
                <w:sz w:val="22"/>
                <w:lang w:eastAsia="ja-JP"/>
              </w:rPr>
            </w:pPr>
            <w:r>
              <w:rPr>
                <w:sz w:val="22"/>
                <w:lang w:eastAsia="ja-JP"/>
              </w:rPr>
              <w:t>Commodity:</w:t>
            </w:r>
          </w:p>
        </w:tc>
        <w:tc>
          <w:tcPr>
            <w:tcW w:w="5670" w:type="dxa"/>
            <w:tcBorders/>
          </w:tcPr>
          <w:p>
            <w:pPr>
              <w:pStyle w:val="Normal"/>
              <w:jc w:val="both"/>
              <w:rPr>
                <w:sz w:val="22"/>
                <w:lang w:eastAsia="ja-JP"/>
              </w:rPr>
            </w:pPr>
            <w:r>
              <w:rPr>
                <w:sz w:val="22"/>
                <w:lang w:eastAsia="ja-JP"/>
              </w:rPr>
              <w:t>Dubai Crude</w:t>
            </w:r>
          </w:p>
        </w:tc>
      </w:tr>
      <w:tr>
        <w:trPr/>
        <w:tc>
          <w:tcPr>
            <w:tcW w:w="4248" w:type="dxa"/>
            <w:tcBorders/>
          </w:tcPr>
          <w:p>
            <w:pPr>
              <w:pStyle w:val="Normal"/>
              <w:snapToGrid w:val="false"/>
              <w:ind w:start="720" w:end="0"/>
              <w:rPr>
                <w:sz w:val="22"/>
                <w:lang w:eastAsia="ja-JP"/>
              </w:rPr>
            </w:pPr>
            <w:r>
              <w:rPr>
                <w:sz w:val="22"/>
                <w:lang w:eastAsia="ja-JP"/>
              </w:rPr>
            </w:r>
          </w:p>
        </w:tc>
        <w:tc>
          <w:tcPr>
            <w:tcW w:w="5670" w:type="dxa"/>
            <w:tcBorders/>
          </w:tcPr>
          <w:p>
            <w:pPr>
              <w:pStyle w:val="Normal"/>
              <w:snapToGrid w:val="false"/>
              <w:jc w:val="both"/>
              <w:rPr>
                <w:sz w:val="22"/>
                <w:lang w:eastAsia="ja-JP"/>
              </w:rPr>
            </w:pPr>
            <w:r>
              <w:rPr>
                <w:sz w:val="22"/>
                <w:lang w:eastAsia="ja-JP"/>
              </w:rPr>
            </w:r>
          </w:p>
        </w:tc>
      </w:tr>
      <w:tr>
        <w:trPr/>
        <w:tc>
          <w:tcPr>
            <w:tcW w:w="4248" w:type="dxa"/>
            <w:tcBorders/>
          </w:tcPr>
          <w:p>
            <w:pPr>
              <w:pStyle w:val="Normal"/>
              <w:ind w:start="720" w:end="0"/>
              <w:rPr>
                <w:sz w:val="22"/>
              </w:rPr>
            </w:pPr>
            <w:r>
              <w:rPr>
                <w:sz w:val="22"/>
              </w:rPr>
              <w:t>Commodity Unit:</w:t>
            </w:r>
          </w:p>
        </w:tc>
        <w:tc>
          <w:tcPr>
            <w:tcW w:w="5670" w:type="dxa"/>
            <w:tcBorders/>
          </w:tcPr>
          <w:p>
            <w:pPr>
              <w:pStyle w:val="Normal"/>
              <w:jc w:val="both"/>
              <w:rPr>
                <w:sz w:val="22"/>
              </w:rPr>
            </w:pPr>
            <w:r>
              <w:rPr>
                <w:sz w:val="22"/>
                <w:lang w:eastAsia="ja-JP"/>
              </w:rPr>
              <w:t xml:space="preserve">Kiloliters </w:t>
            </w:r>
          </w:p>
        </w:tc>
      </w:tr>
    </w:tbl>
    <w:p>
      <w:pPr>
        <w:pStyle w:val="Normal"/>
        <w:tabs>
          <w:tab w:val="left" w:pos="720" w:leader="none"/>
          <w:tab w:val="left" w:pos="4230" w:leader="none"/>
        </w:tabs>
        <w:rPr>
          <w:rFonts w:eastAsia="Times New Roman"/>
          <w:sz w:val="22"/>
          <w:lang w:eastAsia="ja-JP"/>
        </w:rPr>
      </w:pPr>
      <w:r>
        <w:rPr>
          <w:rFonts w:eastAsia="Times New Roman"/>
          <w:sz w:val="22"/>
          <w:lang w:eastAsia="ja-JP"/>
        </w:rPr>
        <w:t xml:space="preserve"> </w:t>
      </w:r>
    </w:p>
    <w:p>
      <w:pPr>
        <w:pStyle w:val="Normal"/>
        <w:tabs>
          <w:tab w:val="left" w:pos="720" w:leader="none"/>
          <w:tab w:val="left" w:pos="4230" w:leader="none"/>
        </w:tabs>
        <w:rPr/>
      </w:pPr>
      <w:r>
        <w:rPr>
          <w:rFonts w:eastAsia="Times New Roman"/>
          <w:sz w:val="22"/>
          <w:lang w:eastAsia="ja-JP"/>
        </w:rPr>
        <w:t xml:space="preserve"> </w:t>
      </w:r>
      <w:r>
        <w:rPr>
          <w:sz w:val="22"/>
        </w:rPr>
        <w:tab/>
        <w:t>Trade Date:</w:t>
        <w:tab/>
      </w:r>
      <w:r>
        <w:rPr>
          <w:sz w:val="22"/>
          <w:lang w:eastAsia="ja-JP"/>
        </w:rPr>
        <w:t>October 11, 2001</w:t>
      </w:r>
    </w:p>
    <w:p>
      <w:pPr>
        <w:pStyle w:val="Normal"/>
        <w:tabs>
          <w:tab w:val="left" w:pos="720" w:leader="none"/>
        </w:tabs>
        <w:rPr>
          <w:sz w:val="22"/>
          <w:lang w:eastAsia="ja-JP"/>
        </w:rPr>
      </w:pPr>
      <w:r>
        <w:rPr>
          <w:sz w:val="22"/>
          <w:lang w:eastAsia="ja-JP"/>
        </w:rPr>
      </w:r>
    </w:p>
    <w:p>
      <w:pPr>
        <w:pStyle w:val="Normal"/>
        <w:tabs>
          <w:tab w:val="left" w:pos="720" w:leader="none"/>
        </w:tabs>
        <w:rPr/>
      </w:pPr>
      <w:r>
        <w:rPr>
          <w:sz w:val="22"/>
        </w:rPr>
        <w:tab/>
        <w:t>Effective Date:</w:t>
        <w:tab/>
        <w:tab/>
        <w:tab/>
        <w:t xml:space="preserve">           </w:t>
      </w:r>
      <w:r>
        <w:rPr>
          <w:sz w:val="22"/>
          <w:lang w:eastAsia="ja-JP"/>
        </w:rPr>
        <w:t>March 1, 2002</w:t>
      </w:r>
    </w:p>
    <w:p>
      <w:pPr>
        <w:pStyle w:val="Normal"/>
        <w:rPr>
          <w:sz w:val="22"/>
          <w:lang w:eastAsia="ja-JP"/>
        </w:rPr>
      </w:pPr>
      <w:r>
        <w:rPr>
          <w:sz w:val="22"/>
          <w:lang w:eastAsia="ja-JP"/>
        </w:rPr>
      </w:r>
    </w:p>
    <w:p>
      <w:pPr>
        <w:pStyle w:val="Normal"/>
        <w:rPr>
          <w:sz w:val="22"/>
          <w:lang w:eastAsia="ja-JP"/>
        </w:rPr>
      </w:pPr>
      <w:r>
        <w:rPr>
          <w:sz w:val="22"/>
        </w:rPr>
        <w:tab/>
        <w:t>Termination Date:</w:t>
        <w:tab/>
        <w:tab/>
        <w:t xml:space="preserve">           </w:t>
      </w:r>
      <w:ins w:id="0" w:author="sshackl" w:date="2001-10-16T17:17:00Z">
        <w:r>
          <w:rPr>
            <w:sz w:val="22"/>
          </w:rPr>
          <w:t>[</w:t>
        </w:r>
      </w:ins>
      <w:r>
        <w:rPr>
          <w:sz w:val="22"/>
          <w:lang w:eastAsia="ja-JP"/>
        </w:rPr>
        <w:t>March 31, 2002</w:t>
      </w:r>
      <w:ins w:id="1" w:author="sshackl" w:date="2001-10-16T17:17:00Z">
        <w:r>
          <w:rPr>
            <w:sz w:val="22"/>
            <w:lang w:eastAsia="ja-JP"/>
          </w:rPr>
          <w:t>] or [the last day of the Determination Period]</w:t>
        </w:r>
      </w:ins>
    </w:p>
    <w:p>
      <w:pPr>
        <w:pStyle w:val="Normal"/>
        <w:rPr>
          <w:sz w:val="22"/>
          <w:lang w:eastAsia="ja-JP"/>
        </w:rPr>
      </w:pPr>
      <w:r>
        <w:rPr>
          <w:sz w:val="22"/>
          <w:lang w:eastAsia="ja-JP"/>
        </w:rPr>
      </w:r>
    </w:p>
    <w:tbl>
      <w:tblPr>
        <w:tblW w:w="10368" w:type="dxa"/>
        <w:jc w:val="start"/>
        <w:tblInd w:w="0" w:type="dxa"/>
        <w:tblLayout w:type="fixed"/>
        <w:tblCellMar>
          <w:top w:w="0" w:type="dxa"/>
          <w:start w:w="108" w:type="dxa"/>
          <w:bottom w:w="0" w:type="dxa"/>
          <w:end w:w="108" w:type="dxa"/>
        </w:tblCellMar>
      </w:tblPr>
      <w:tblGrid>
        <w:gridCol w:w="4248"/>
        <w:gridCol w:w="5238"/>
        <w:gridCol w:w="864"/>
        <w:gridCol w:w="18"/>
      </w:tblGrid>
      <w:tr>
        <w:trPr/>
        <w:tc>
          <w:tcPr>
            <w:tcW w:w="4248" w:type="dxa"/>
            <w:tcBorders/>
          </w:tcPr>
          <w:p>
            <w:pPr>
              <w:pStyle w:val="Normal"/>
              <w:rPr>
                <w:sz w:val="22"/>
              </w:rPr>
            </w:pPr>
            <w:r>
              <w:rPr>
                <w:rFonts w:eastAsia="Times New Roman"/>
                <w:sz w:val="22"/>
              </w:rPr>
              <w:t xml:space="preserve">             </w:t>
            </w:r>
            <w:r>
              <w:rPr>
                <w:sz w:val="22"/>
              </w:rPr>
              <w:t>Determination Period:</w:t>
            </w:r>
          </w:p>
        </w:tc>
        <w:tc>
          <w:tcPr>
            <w:tcW w:w="5238" w:type="dxa"/>
            <w:tcBorders/>
          </w:tcPr>
          <w:p>
            <w:pPr>
              <w:pStyle w:val="Normal"/>
              <w:jc w:val="both"/>
              <w:rPr/>
            </w:pPr>
            <w:ins w:id="2" w:author="sshackl" w:date="2001-10-16T17:08:00Z">
              <w:r>
                <w:rPr>
                  <w:sz w:val="22"/>
                  <w:lang w:eastAsia="ja-JP"/>
                </w:rPr>
                <w:t xml:space="preserve">Each calendar month beginning with </w:t>
              </w:r>
            </w:ins>
            <w:r>
              <w:rPr>
                <w:sz w:val="22"/>
                <w:lang w:eastAsia="ja-JP"/>
              </w:rPr>
              <w:t xml:space="preserve">March 1, 2002 </w:t>
            </w:r>
            <w:ins w:id="3" w:author="sshackl" w:date="2001-10-16T17:08:00Z">
              <w:r>
                <w:rPr>
                  <w:sz w:val="22"/>
                  <w:lang w:eastAsia="ja-JP"/>
                </w:rPr>
                <w:t>and ending on</w:t>
              </w:r>
            </w:ins>
            <w:del w:id="4" w:author="sshackl" w:date="2001-10-16T17:08:00Z">
              <w:r>
                <w:rPr>
                  <w:sz w:val="22"/>
                  <w:lang w:eastAsia="ja-JP"/>
                </w:rPr>
                <w:delText>–</w:delText>
              </w:r>
            </w:del>
            <w:r>
              <w:rPr>
                <w:sz w:val="22"/>
                <w:lang w:eastAsia="ja-JP"/>
              </w:rPr>
              <w:t xml:space="preserve"> March 31, 2002</w:t>
            </w:r>
          </w:p>
        </w:tc>
        <w:tc>
          <w:tcPr>
            <w:tcW w:w="882" w:type="dxa"/>
            <w:tcBorders/>
            <w:tcMar>
              <w:start w:w="0" w:type="dxa"/>
              <w:end w:w="0" w:type="dxa"/>
            </w:tcMar>
          </w:tcPr>
          <w:p>
            <w:pPr>
              <w:pStyle w:val="Normal"/>
              <w:snapToGrid w:val="false"/>
              <w:rPr>
                <w:sz w:val="22"/>
                <w:lang w:eastAsia="ja-JP"/>
              </w:rPr>
            </w:pPr>
            <w:r>
              <w:rPr>
                <w:sz w:val="22"/>
                <w:lang w:eastAsia="ja-JP"/>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Payment Date:</w:t>
            </w:r>
          </w:p>
        </w:tc>
        <w:tc>
          <w:tcPr>
            <w:tcW w:w="5238" w:type="dxa"/>
            <w:tcBorders/>
          </w:tcPr>
          <w:p>
            <w:pPr>
              <w:pStyle w:val="Normal"/>
              <w:jc w:val="both"/>
              <w:rPr>
                <w:sz w:val="22"/>
              </w:rPr>
            </w:pPr>
            <w:ins w:id="5" w:author="sshackl" w:date="2001-10-16T17:11:00Z">
              <w:r>
                <w:rPr>
                  <w:sz w:val="22"/>
                </w:rPr>
                <w:t>[The fifth Business Day after the Floating Price is determinable] or [The later of</w:t>
              </w:r>
            </w:ins>
            <w:ins w:id="6" w:author="sshackl" w:date="2001-10-16T17:13:00Z">
              <w:r>
                <w:rPr>
                  <w:sz w:val="22"/>
                </w:rPr>
                <w:t xml:space="preserve"> (i) the fifth Business Day after the Floating Price is determinable or (ii) t</w:t>
              </w:r>
            </w:ins>
            <w:del w:id="7" w:author="sshackl" w:date="2001-10-16T17:14:00Z">
              <w:r>
                <w:rPr>
                  <w:sz w:val="22"/>
                </w:rPr>
                <w:delText>T</w:delText>
              </w:r>
            </w:del>
            <w:r>
              <w:rPr>
                <w:sz w:val="22"/>
              </w:rPr>
              <w:t xml:space="preserve">he </w:t>
            </w:r>
            <w:r>
              <w:rPr>
                <w:sz w:val="22"/>
                <w:lang w:eastAsia="ja-JP"/>
              </w:rPr>
              <w:t xml:space="preserve">second </w:t>
            </w:r>
            <w:r>
              <w:rPr>
                <w:sz w:val="22"/>
              </w:rPr>
              <w:t>(</w:t>
            </w:r>
            <w:r>
              <w:rPr>
                <w:sz w:val="22"/>
                <w:lang w:eastAsia="ja-JP"/>
              </w:rPr>
              <w:t>2nd</w:t>
            </w:r>
            <w:r>
              <w:rPr>
                <w:sz w:val="22"/>
              </w:rPr>
              <w:t xml:space="preserve">) Business Day </w:t>
            </w:r>
            <w:del w:id="8" w:author="sshackl" w:date="2001-10-16T17:14:00Z">
              <w:r>
                <w:rPr>
                  <w:sz w:val="22"/>
                </w:rPr>
                <w:delText xml:space="preserve">following the date </w:delText>
              </w:r>
            </w:del>
            <w:del w:id="9" w:author="sshackl" w:date="2001-10-16T17:14:00Z">
              <w:r>
                <w:rPr>
                  <w:sz w:val="22"/>
                  <w:lang w:eastAsia="ja-JP"/>
                </w:rPr>
                <w:delText>of issuance of an invoice by</w:delText>
              </w:r>
            </w:del>
            <w:ins w:id="10" w:author="sshackl" w:date="2001-10-16T17:15:00Z">
              <w:r>
                <w:rPr>
                  <w:sz w:val="22"/>
                  <w:lang w:eastAsia="ja-JP"/>
                </w:rPr>
                <w:t>after</w:t>
              </w:r>
            </w:ins>
            <w:r>
              <w:rPr>
                <w:sz w:val="22"/>
                <w:lang w:eastAsia="ja-JP"/>
              </w:rPr>
              <w:t xml:space="preserve"> EJC</w:t>
            </w:r>
            <w:ins w:id="11" w:author="sshackl" w:date="2001-10-16T17:15:00Z">
              <w:r>
                <w:rPr>
                  <w:sz w:val="22"/>
                  <w:lang w:eastAsia="ja-JP"/>
                </w:rPr>
                <w:t xml:space="preserve"> issues an invoice]</w:t>
              </w:r>
            </w:ins>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ind w:firstLine="720" w:end="0"/>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lang w:eastAsia="ja-JP"/>
              </w:rPr>
            </w:pPr>
            <w:del w:id="12" w:author="sshackl" w:date="2001-10-16T17:16:00Z">
              <w:r>
                <w:rPr>
                  <w:sz w:val="22"/>
                  <w:lang w:eastAsia="ja-JP"/>
                </w:rPr>
                <w:delText xml:space="preserve">Invoice </w:delText>
              </w:r>
            </w:del>
          </w:p>
        </w:tc>
        <w:tc>
          <w:tcPr>
            <w:tcW w:w="5238" w:type="dxa"/>
            <w:tcBorders/>
          </w:tcPr>
          <w:p>
            <w:pPr>
              <w:pStyle w:val="Normal"/>
              <w:jc w:val="both"/>
              <w:rPr>
                <w:sz w:val="22"/>
                <w:lang w:eastAsia="ja-JP"/>
              </w:rPr>
            </w:pPr>
            <w:del w:id="13" w:author="sshackl" w:date="2001-10-16T17:16:00Z">
              <w:r>
                <w:rPr>
                  <w:sz w:val="22"/>
                  <w:lang w:eastAsia="ja-JP"/>
                </w:rPr>
                <w:delText xml:space="preserve">To be issued by EJC within three (3) Business Days of the </w:delText>
              </w:r>
            </w:del>
            <w:del w:id="14" w:author="sshackl" w:date="2001-10-16T17:16:00Z">
              <w:r>
                <w:rPr>
                  <w:sz w:val="22"/>
                  <w:lang w:eastAsia="ja-JP"/>
                </w:rPr>
                <w:delText>Termination</w:delText>
              </w:r>
            </w:del>
            <w:del w:id="15" w:author="sshackl" w:date="2001-10-16T17:16:00Z">
              <w:r>
                <w:rPr>
                  <w:sz w:val="22"/>
                  <w:lang w:eastAsia="ja-JP"/>
                </w:rPr>
                <w:delText xml:space="preserve"> Date</w:delText>
              </w:r>
            </w:del>
          </w:p>
        </w:tc>
        <w:tc>
          <w:tcPr>
            <w:tcW w:w="882" w:type="dxa"/>
            <w:tcBorders/>
            <w:tcMar>
              <w:start w:w="0" w:type="dxa"/>
              <w:end w:w="0" w:type="dxa"/>
            </w:tcMar>
          </w:tcPr>
          <w:p>
            <w:pPr>
              <w:pStyle w:val="Normal"/>
              <w:snapToGrid w:val="false"/>
              <w:rPr>
                <w:sz w:val="22"/>
                <w:lang w:eastAsia="ja-JP"/>
              </w:rPr>
            </w:pPr>
            <w:r>
              <w:rPr>
                <w:sz w:val="22"/>
                <w:lang w:eastAsia="ja-JP"/>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lang w:eastAsia="ja-JP"/>
              </w:rPr>
            </w:pPr>
            <w:r>
              <w:rPr>
                <w:sz w:val="22"/>
                <w:lang w:eastAsia="ja-JP"/>
              </w:rPr>
            </w:r>
          </w:p>
          <w:p>
            <w:pPr>
              <w:pStyle w:val="Normal"/>
              <w:jc w:val="both"/>
              <w:rPr>
                <w:sz w:val="22"/>
                <w:lang w:eastAsia="ja-JP"/>
              </w:rPr>
            </w:pPr>
            <w:r>
              <w:rPr>
                <w:sz w:val="22"/>
                <w:lang w:eastAsia="ja-JP"/>
              </w:rPr>
            </w:r>
          </w:p>
        </w:tc>
        <w:tc>
          <w:tcPr>
            <w:tcW w:w="882" w:type="dxa"/>
            <w:tcBorders/>
            <w:tcMar>
              <w:start w:w="0" w:type="dxa"/>
              <w:end w:w="0" w:type="dxa"/>
            </w:tcMar>
          </w:tcPr>
          <w:p>
            <w:pPr>
              <w:pStyle w:val="Normal"/>
              <w:snapToGrid w:val="false"/>
              <w:rPr>
                <w:sz w:val="22"/>
                <w:lang w:eastAsia="ja-JP"/>
              </w:rPr>
            </w:pPr>
            <w:r>
              <w:rPr>
                <w:sz w:val="22"/>
                <w:lang w:eastAsia="ja-JP"/>
              </w:rPr>
            </w:r>
          </w:p>
        </w:tc>
      </w:tr>
      <w:tr>
        <w:trPr/>
        <w:tc>
          <w:tcPr>
            <w:tcW w:w="4248" w:type="dxa"/>
            <w:tcBorders/>
          </w:tcPr>
          <w:p>
            <w:pPr>
              <w:pStyle w:val="Normal"/>
              <w:rPr>
                <w:b/>
                <w:sz w:val="22"/>
              </w:rPr>
            </w:pPr>
            <w:r>
              <w:rPr>
                <w:b/>
                <w:sz w:val="22"/>
              </w:rPr>
              <w:t>Fixed Amount Details:</w:t>
            </w:r>
          </w:p>
        </w:tc>
        <w:tc>
          <w:tcPr>
            <w:tcW w:w="5238" w:type="dxa"/>
            <w:tcBorders/>
          </w:tcPr>
          <w:p>
            <w:pPr>
              <w:pStyle w:val="Normal"/>
              <w:snapToGrid w:val="false"/>
              <w:jc w:val="both"/>
              <w:rPr>
                <w:b/>
                <w:sz w:val="22"/>
              </w:rPr>
            </w:pPr>
            <w:r>
              <w:rPr>
                <w:b/>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Fixed Price Payor:</w:t>
            </w:r>
          </w:p>
        </w:tc>
        <w:tc>
          <w:tcPr>
            <w:tcW w:w="5238" w:type="dxa"/>
            <w:tcBorders/>
          </w:tcPr>
          <w:p>
            <w:pPr>
              <w:pStyle w:val="Normal"/>
              <w:jc w:val="both"/>
              <w:rPr>
                <w:sz w:val="22"/>
                <w:lang w:eastAsia="ja-JP"/>
              </w:rPr>
            </w:pPr>
            <w:r>
              <w:rPr>
                <w:sz w:val="22"/>
                <w:lang w:eastAsia="ja-JP"/>
              </w:rPr>
              <w:t>EJC</w:t>
            </w:r>
          </w:p>
        </w:tc>
        <w:tc>
          <w:tcPr>
            <w:tcW w:w="882" w:type="dxa"/>
            <w:tcBorders/>
            <w:tcMar>
              <w:start w:w="0" w:type="dxa"/>
              <w:end w:w="0" w:type="dxa"/>
            </w:tcMar>
          </w:tcPr>
          <w:p>
            <w:pPr>
              <w:pStyle w:val="Normal"/>
              <w:snapToGrid w:val="false"/>
              <w:rPr>
                <w:sz w:val="22"/>
                <w:lang w:eastAsia="ja-JP"/>
              </w:rPr>
            </w:pPr>
            <w:r>
              <w:rPr>
                <w:sz w:val="22"/>
                <w:lang w:eastAsia="ja-JP"/>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Fixed Price:</w:t>
            </w:r>
          </w:p>
        </w:tc>
        <w:tc>
          <w:tcPr>
            <w:tcW w:w="5238" w:type="dxa"/>
            <w:tcBorders/>
          </w:tcPr>
          <w:p>
            <w:pPr>
              <w:pStyle w:val="Normal"/>
              <w:jc w:val="both"/>
              <w:rPr/>
            </w:pPr>
            <w:r>
              <w:rPr>
                <w:sz w:val="22"/>
                <w:lang w:eastAsia="ja-JP"/>
              </w:rPr>
              <w:t>Japanese Yen 15,110</w:t>
            </w:r>
            <w:r>
              <w:rPr>
                <w:sz w:val="22"/>
              </w:rPr>
              <w:t xml:space="preserve"> </w:t>
            </w:r>
            <w:r>
              <w:rPr>
                <w:sz w:val="22"/>
                <w:lang w:eastAsia="ja-JP"/>
              </w:rPr>
              <w:t xml:space="preserve">per KL  </w:t>
            </w:r>
          </w:p>
        </w:tc>
        <w:tc>
          <w:tcPr>
            <w:tcW w:w="882" w:type="dxa"/>
            <w:tcBorders/>
            <w:tcMar>
              <w:start w:w="0" w:type="dxa"/>
              <w:end w:w="0" w:type="dxa"/>
            </w:tcMar>
          </w:tcPr>
          <w:p>
            <w:pPr>
              <w:pStyle w:val="Normal"/>
              <w:snapToGrid w:val="false"/>
              <w:rPr>
                <w:sz w:val="22"/>
                <w:lang w:eastAsia="ja-JP"/>
              </w:rPr>
            </w:pPr>
            <w:r>
              <w:rPr>
                <w:sz w:val="22"/>
                <w:lang w:eastAsia="ja-JP"/>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Heading1"/>
              <w:ind w:hanging="0" w:start="0"/>
              <w:rPr/>
            </w:pPr>
            <w:r>
              <w:rPr/>
              <w:t>Floating Amount Details</w:t>
            </w:r>
          </w:p>
        </w:tc>
        <w:tc>
          <w:tcPr>
            <w:tcW w:w="5238" w:type="dxa"/>
            <w:tcBorders/>
          </w:tcPr>
          <w:p>
            <w:pPr>
              <w:pStyle w:val="Normal"/>
              <w:snapToGrid w:val="false"/>
              <w:jc w:val="both"/>
              <w:rPr>
                <w:rFonts w:ascii="Arial" w:hAnsi="Arial" w:cs="Arial"/>
                <w:sz w:val="20"/>
                <w:lang w:eastAsia="ja-JP"/>
              </w:rPr>
            </w:pPr>
            <w:r>
              <w:rPr>
                <w:rFonts w:cs="Arial" w:ascii="Arial" w:hAnsi="Arial"/>
                <w:sz w:val="20"/>
                <w:lang w:eastAsia="ja-JP"/>
              </w:rPr>
            </w:r>
          </w:p>
          <w:p>
            <w:pPr>
              <w:pStyle w:val="Normal"/>
              <w:jc w:val="both"/>
              <w:rPr>
                <w:rFonts w:ascii="Arial" w:hAnsi="Arial" w:cs="Arial"/>
                <w:sz w:val="20"/>
                <w:lang w:eastAsia="ja-JP"/>
              </w:rPr>
            </w:pPr>
            <w:r>
              <w:rPr>
                <w:rFonts w:cs="Arial" w:ascii="Arial" w:hAnsi="Arial"/>
                <w:sz w:val="20"/>
                <w:lang w:eastAsia="ja-JP"/>
              </w:rPr>
            </w:r>
          </w:p>
        </w:tc>
        <w:tc>
          <w:tcPr>
            <w:tcW w:w="882" w:type="dxa"/>
            <w:tcBorders/>
            <w:tcMar>
              <w:start w:w="0" w:type="dxa"/>
              <w:end w:w="0" w:type="dxa"/>
            </w:tcMar>
          </w:tcPr>
          <w:p>
            <w:pPr>
              <w:pStyle w:val="Normal"/>
              <w:snapToGrid w:val="false"/>
              <w:rPr>
                <w:rFonts w:ascii="Arial" w:hAnsi="Arial" w:cs="Arial"/>
                <w:sz w:val="20"/>
                <w:lang w:eastAsia="ja-JP"/>
              </w:rPr>
            </w:pPr>
            <w:r>
              <w:rPr>
                <w:rFonts w:cs="Arial" w:ascii="Arial" w:hAnsi="Arial"/>
                <w:sz w:val="20"/>
                <w:lang w:eastAsia="ja-JP"/>
              </w:rPr>
            </w:r>
          </w:p>
        </w:tc>
      </w:tr>
      <w:tr>
        <w:trPr/>
        <w:tc>
          <w:tcPr>
            <w:tcW w:w="4248" w:type="dxa"/>
            <w:tcBorders/>
          </w:tcPr>
          <w:p>
            <w:pPr>
              <w:pStyle w:val="Normal"/>
              <w:snapToGrid w:val="false"/>
              <w:rPr>
                <w:rFonts w:ascii="Arial" w:hAnsi="Arial" w:cs="Arial"/>
                <w:sz w:val="22"/>
              </w:rPr>
            </w:pPr>
            <w:r>
              <w:rPr>
                <w:rFonts w:cs="Arial" w:ascii="Arial" w:hAnsi="Arial"/>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Floating Price Payor:</w:t>
            </w:r>
          </w:p>
        </w:tc>
        <w:tc>
          <w:tcPr>
            <w:tcW w:w="5238" w:type="dxa"/>
            <w:tcBorders/>
          </w:tcPr>
          <w:p>
            <w:pPr>
              <w:pStyle w:val="Normal"/>
              <w:jc w:val="both"/>
              <w:rPr>
                <w:sz w:val="22"/>
                <w:lang w:eastAsia="ja-JP"/>
              </w:rPr>
            </w:pPr>
            <w:r>
              <w:rPr>
                <w:sz w:val="22"/>
                <w:lang w:eastAsia="ja-JP"/>
              </w:rPr>
              <w:t>Counterparty</w:t>
            </w:r>
          </w:p>
        </w:tc>
        <w:tc>
          <w:tcPr>
            <w:tcW w:w="882" w:type="dxa"/>
            <w:tcBorders/>
            <w:tcMar>
              <w:start w:w="0" w:type="dxa"/>
              <w:end w:w="0" w:type="dxa"/>
            </w:tcMar>
          </w:tcPr>
          <w:p>
            <w:pPr>
              <w:pStyle w:val="Normal"/>
              <w:snapToGrid w:val="false"/>
              <w:rPr>
                <w:sz w:val="22"/>
                <w:lang w:eastAsia="ja-JP"/>
              </w:rPr>
            </w:pPr>
            <w:r>
              <w:rPr>
                <w:sz w:val="22"/>
                <w:lang w:eastAsia="ja-JP"/>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Floating Price:</w:t>
            </w:r>
          </w:p>
        </w:tc>
        <w:tc>
          <w:tcPr>
            <w:tcW w:w="6120" w:type="dxa"/>
            <w:gridSpan w:val="2"/>
            <w:tcBorders/>
          </w:tcPr>
          <w:p>
            <w:pPr>
              <w:pStyle w:val="Normal"/>
              <w:jc w:val="both"/>
              <w:rPr/>
            </w:pPr>
            <w:r>
              <w:rPr>
                <w:color w:val="000000"/>
                <w:sz w:val="22"/>
              </w:rPr>
              <w:t xml:space="preserve">The </w:t>
            </w:r>
            <w:r>
              <w:rPr>
                <w:color w:val="000000"/>
                <w:sz w:val="22"/>
                <w:lang w:eastAsia="ja-JP"/>
              </w:rPr>
              <w:t xml:space="preserve">arithmetic average of </w:t>
            </w:r>
            <w:r>
              <w:rPr>
                <w:rFonts w:eastAsia="Times New Roman"/>
                <w:color w:val="000000"/>
                <w:sz w:val="22"/>
              </w:rPr>
              <w:t xml:space="preserve">the </w:t>
            </w:r>
            <w:r>
              <w:rPr>
                <w:color w:val="000000"/>
                <w:sz w:val="22"/>
                <w:lang w:eastAsia="ja-JP"/>
              </w:rPr>
              <w:t xml:space="preserve">daily means of the </w:t>
            </w:r>
            <w:r>
              <w:rPr>
                <w:rFonts w:eastAsia="Times New Roman"/>
                <w:color w:val="000000"/>
                <w:sz w:val="22"/>
              </w:rPr>
              <w:t xml:space="preserve">high and low quotations for </w:t>
            </w:r>
            <w:ins w:id="16" w:author="sshackl" w:date="2001-10-16T17:17:00Z">
              <w:r>
                <w:rPr>
                  <w:rFonts w:eastAsia="Times New Roman"/>
                  <w:color w:val="000000"/>
                  <w:sz w:val="22"/>
                </w:rPr>
                <w:t>[</w:t>
              </w:r>
            </w:ins>
            <w:r>
              <w:rPr>
                <w:color w:val="000000"/>
                <w:sz w:val="22"/>
                <w:lang w:eastAsia="ja-JP"/>
              </w:rPr>
              <w:t xml:space="preserve">North Sea, West Africa, </w:t>
            </w:r>
            <w:r>
              <w:rPr>
                <w:color w:val="000000"/>
                <w:sz w:val="22"/>
                <w:lang w:eastAsia="ja-JP"/>
              </w:rPr>
              <w:t>Mediterranean</w:t>
            </w:r>
            <w:r>
              <w:rPr>
                <w:color w:val="000000"/>
                <w:sz w:val="22"/>
                <w:lang w:eastAsia="ja-JP"/>
              </w:rPr>
              <w:t xml:space="preserve"> </w:t>
            </w:r>
            <w:r>
              <w:rPr>
                <w:color w:val="000000"/>
                <w:sz w:val="22"/>
                <w:lang w:eastAsia="ja-JP"/>
              </w:rPr>
              <w:t>-</w:t>
            </w:r>
            <w:r>
              <w:rPr>
                <w:color w:val="000000"/>
                <w:sz w:val="22"/>
                <w:lang w:eastAsia="ja-JP"/>
              </w:rPr>
              <w:t xml:space="preserve"> </w:t>
            </w:r>
            <w:ins w:id="17" w:author="sshackl" w:date="2001-10-16T17:19:00Z">
              <w:r>
                <w:rPr>
                  <w:color w:val="000000"/>
                  <w:sz w:val="22"/>
                  <w:lang w:eastAsia="ja-JP"/>
                </w:rPr>
                <w:t>]</w:t>
              </w:r>
            </w:ins>
            <w:r>
              <w:rPr>
                <w:color w:val="000000"/>
                <w:sz w:val="22"/>
                <w:lang w:eastAsia="ja-JP"/>
              </w:rPr>
              <w:t>Dubai (lead month) as published in Platt</w:t>
            </w:r>
            <w:r>
              <w:rPr>
                <w:color w:val="000000"/>
                <w:sz w:val="22"/>
                <w:lang w:eastAsia="ja-JP"/>
              </w:rPr>
              <w:t>’</w:t>
            </w:r>
            <w:r>
              <w:rPr>
                <w:color w:val="000000"/>
                <w:sz w:val="22"/>
                <w:lang w:eastAsia="ja-JP"/>
              </w:rPr>
              <w:t xml:space="preserve">s Crude Oil Marketwire in respect of the applicable </w:t>
            </w:r>
            <w:r>
              <w:rPr>
                <w:rFonts w:eastAsia="Times New Roman"/>
                <w:color w:val="000000"/>
                <w:sz w:val="22"/>
              </w:rPr>
              <w:t>Determination Period</w:t>
            </w:r>
            <w:r>
              <w:rPr>
                <w:color w:val="000000"/>
                <w:sz w:val="22"/>
                <w:lang w:eastAsia="ja-JP"/>
              </w:rPr>
              <w:t xml:space="preserve">, multiplied by 0.159 and converted into Japanese Yen </w:t>
            </w:r>
            <w:ins w:id="18" w:author="sshackl" w:date="2001-10-16T17:19:00Z">
              <w:r>
                <w:rPr>
                  <w:color w:val="000000"/>
                  <w:sz w:val="22"/>
                  <w:lang w:eastAsia="ja-JP"/>
                </w:rPr>
                <w:t>[</w:t>
              </w:r>
            </w:ins>
            <w:r>
              <w:rPr>
                <w:color w:val="000000"/>
                <w:sz w:val="22"/>
                <w:lang w:eastAsia="ja-JP"/>
              </w:rPr>
              <w:t>at the TTM rate (being the average of the TTB rate and the TTS rate) published by The Bank of Tokyo-Mitsubishi, Ltd.</w:t>
            </w:r>
            <w:ins w:id="19" w:author="sshackl" w:date="2001-10-16T17:19:00Z">
              <w:r>
                <w:rPr>
                  <w:color w:val="000000"/>
                  <w:sz w:val="22"/>
                  <w:lang w:eastAsia="ja-JP"/>
                </w:rPr>
                <w:t>][can you use reference to Bank of Japan?]</w:t>
              </w:r>
            </w:ins>
            <w:r>
              <w:rPr>
                <w:color w:val="000000"/>
                <w:sz w:val="22"/>
                <w:lang w:eastAsia="ja-JP"/>
              </w:rPr>
              <w:t xml:space="preserve"> at or after 10am</w:t>
            </w:r>
            <w:ins w:id="20" w:author="sshackl" w:date="2001-10-16T17:19:00Z">
              <w:r>
                <w:rPr>
                  <w:color w:val="000000"/>
                  <w:sz w:val="22"/>
                  <w:lang w:eastAsia="ja-JP"/>
                </w:rPr>
                <w:t xml:space="preserve"> Tokyo time</w:t>
              </w:r>
            </w:ins>
            <w:r>
              <w:rPr>
                <w:color w:val="000000"/>
                <w:sz w:val="22"/>
                <w:lang w:eastAsia="ja-JP"/>
              </w:rPr>
              <w:t xml:space="preserve"> on the Termination Date.</w:t>
            </w:r>
          </w:p>
        </w:tc>
      </w:tr>
      <w:tr>
        <w:trPr/>
        <w:tc>
          <w:tcPr>
            <w:tcW w:w="4248" w:type="dxa"/>
            <w:tcBorders/>
          </w:tcPr>
          <w:p>
            <w:pPr>
              <w:pStyle w:val="Normal"/>
              <w:tabs>
                <w:tab w:val="left" w:pos="720" w:leader="none"/>
              </w:tabs>
              <w:rPr>
                <w:sz w:val="22"/>
              </w:rPr>
            </w:pPr>
            <w:r>
              <w:rPr>
                <w:rFonts w:eastAsia="Times New Roman"/>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20" w:type="dxa"/>
            <w:gridSpan w:val="2"/>
            <w:tcBorders/>
          </w:tcPr>
          <w:p>
            <w:pPr>
              <w:pStyle w:val="Normal"/>
              <w:ind w:start="-18" w:end="0"/>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4248" w:type="dxa"/>
            <w:tcBorders/>
          </w:tcPr>
          <w:p>
            <w:pPr>
              <w:pStyle w:val="Normal"/>
              <w:rPr>
                <w:sz w:val="22"/>
              </w:rPr>
            </w:pPr>
            <w:r>
              <w:rPr>
                <w:b/>
                <w:sz w:val="22"/>
              </w:rPr>
              <w:t>Contractual Currency:</w:t>
            </w:r>
          </w:p>
        </w:tc>
        <w:tc>
          <w:tcPr>
            <w:tcW w:w="6102" w:type="dxa"/>
            <w:gridSpan w:val="2"/>
            <w:tcBorders/>
          </w:tcPr>
          <w:p>
            <w:pPr>
              <w:pStyle w:val="Normal"/>
              <w:jc w:val="both"/>
              <w:rPr>
                <w:sz w:val="22"/>
                <w:lang w:eastAsia="ja-JP"/>
              </w:rPr>
            </w:pPr>
            <w:r>
              <w:rPr>
                <w:sz w:val="22"/>
                <w:lang w:eastAsia="ja-JP"/>
              </w:rPr>
              <w:t>Japanese Yen</w:t>
            </w:r>
          </w:p>
        </w:tc>
      </w:tr>
      <w:tr>
        <w:trPr/>
        <w:tc>
          <w:tcPr>
            <w:tcW w:w="4248" w:type="dxa"/>
            <w:tcBorders/>
          </w:tcPr>
          <w:p>
            <w:pPr>
              <w:pStyle w:val="Normal"/>
              <w:snapToGrid w:val="false"/>
              <w:rPr>
                <w:b/>
                <w:sz w:val="22"/>
                <w:lang w:eastAsia="ja-JP"/>
              </w:rPr>
            </w:pPr>
            <w:r>
              <w:rPr>
                <w:b/>
                <w:sz w:val="22"/>
                <w:lang w:eastAsia="ja-JP"/>
              </w:rPr>
            </w:r>
          </w:p>
        </w:tc>
        <w:tc>
          <w:tcPr>
            <w:tcW w:w="6102" w:type="dxa"/>
            <w:gridSpan w:val="2"/>
            <w:tcBorders/>
          </w:tcPr>
          <w:p>
            <w:pPr>
              <w:pStyle w:val="Normal"/>
              <w:snapToGrid w:val="false"/>
              <w:jc w:val="both"/>
              <w:rPr>
                <w:b/>
                <w:sz w:val="22"/>
                <w:lang w:eastAsia="ja-JP"/>
              </w:rPr>
            </w:pPr>
            <w:r>
              <w:rPr>
                <w:b/>
                <w:sz w:val="22"/>
                <w:lang w:eastAsia="ja-JP"/>
              </w:rPr>
            </w:r>
          </w:p>
        </w:tc>
      </w:tr>
      <w:tr>
        <w:trPr/>
        <w:tc>
          <w:tcPr>
            <w:tcW w:w="4248" w:type="dxa"/>
            <w:tcBorders/>
          </w:tcPr>
          <w:p>
            <w:pPr>
              <w:pStyle w:val="Normal"/>
              <w:rPr>
                <w:b/>
                <w:sz w:val="22"/>
                <w:lang w:eastAsia="ja-JP"/>
              </w:rPr>
            </w:pPr>
            <w:r>
              <w:rPr>
                <w:b/>
                <w:sz w:val="22"/>
                <w:lang w:eastAsia="ja-JP"/>
              </w:rPr>
              <w:t>Calculation Agent</w:t>
            </w:r>
          </w:p>
        </w:tc>
        <w:tc>
          <w:tcPr>
            <w:tcW w:w="6102" w:type="dxa"/>
            <w:gridSpan w:val="2"/>
            <w:tcBorders/>
          </w:tcPr>
          <w:p>
            <w:pPr>
              <w:pStyle w:val="Normal"/>
              <w:jc w:val="both"/>
              <w:rPr>
                <w:sz w:val="22"/>
                <w:lang w:eastAsia="ja-JP"/>
              </w:rPr>
            </w:pPr>
            <w:r>
              <w:rPr>
                <w:sz w:val="22"/>
                <w:lang w:eastAsia="ja-JP"/>
              </w:rPr>
              <w:t>EJC</w:t>
            </w:r>
          </w:p>
        </w:tc>
      </w:tr>
    </w:tbl>
    <w:p>
      <w:pPr>
        <w:pStyle w:val="Normal"/>
        <w:rPr>
          <w:b/>
          <w:sz w:val="22"/>
        </w:rPr>
      </w:pPr>
      <w:r>
        <w:rPr>
          <w:b/>
          <w:sz w:val="22"/>
        </w:rPr>
      </w:r>
    </w:p>
    <w:p>
      <w:pPr>
        <w:pStyle w:val="Normal"/>
        <w:numPr>
          <w:ilvl w:val="0"/>
          <w:numId w:val="0"/>
        </w:numPr>
        <w:tabs>
          <w:tab w:val="clear" w:pos="720"/>
          <w:tab w:val="left" w:pos="4230" w:leader="none"/>
        </w:tabs>
        <w:jc w:val="both"/>
        <w:outlineLvl w:val="0"/>
        <w:rPr/>
      </w:pPr>
      <w:r>
        <w:rPr>
          <w:b/>
          <w:sz w:val="22"/>
        </w:rPr>
        <w:t>Governing Law:</w:t>
      </w:r>
      <w:r>
        <w:rPr>
          <w:sz w:val="22"/>
        </w:rPr>
        <w:tab/>
      </w:r>
      <w:r>
        <w:rPr>
          <w:sz w:val="22"/>
          <w:lang w:eastAsia="ja-JP"/>
        </w:rPr>
        <w:t>Japanese</w:t>
      </w:r>
    </w:p>
    <w:p>
      <w:pPr>
        <w:pStyle w:val="Normal"/>
        <w:tabs>
          <w:tab w:val="left" w:pos="720" w:leader="none"/>
          <w:tab w:val="left" w:pos="4320" w:leader="none"/>
        </w:tabs>
        <w:jc w:val="both"/>
        <w:rPr>
          <w:b/>
          <w:sz w:val="22"/>
        </w:rPr>
      </w:pPr>
      <w:r>
        <w:rPr>
          <w:b/>
          <w:sz w:val="22"/>
        </w:rPr>
        <w:tab/>
      </w:r>
    </w:p>
    <w:tbl>
      <w:tblPr>
        <w:tblW w:w="10350" w:type="dxa"/>
        <w:jc w:val="start"/>
        <w:tblInd w:w="0" w:type="dxa"/>
        <w:tblLayout w:type="fixed"/>
        <w:tblCellMar>
          <w:top w:w="0" w:type="dxa"/>
          <w:start w:w="108" w:type="dxa"/>
          <w:bottom w:w="0" w:type="dxa"/>
          <w:end w:w="108" w:type="dxa"/>
        </w:tblCellMar>
      </w:tblPr>
      <w:tblGrid>
        <w:gridCol w:w="4248"/>
        <w:gridCol w:w="6102"/>
      </w:tblGrid>
      <w:tr>
        <w:trPr/>
        <w:tc>
          <w:tcPr>
            <w:tcW w:w="424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r>
        <w:trPr/>
        <w:tc>
          <w:tcPr>
            <w:tcW w:w="4248" w:type="dxa"/>
            <w:tcBorders/>
          </w:tcPr>
          <w:p>
            <w:pPr>
              <w:pStyle w:val="Normal"/>
              <w:snapToGrid w:val="false"/>
              <w:rPr>
                <w:b/>
                <w:sz w:val="22"/>
              </w:rPr>
            </w:pPr>
            <w:r>
              <w:rPr>
                <w:b/>
                <w:sz w:val="22"/>
              </w:rPr>
            </w:r>
          </w:p>
        </w:tc>
        <w:tc>
          <w:tcPr>
            <w:tcW w:w="6102" w:type="dxa"/>
            <w:tcBorders/>
          </w:tcPr>
          <w:p>
            <w:pPr>
              <w:pStyle w:val="Normal"/>
              <w:snapToGrid w:val="false"/>
              <w:jc w:val="both"/>
              <w:rPr>
                <w:b/>
                <w:sz w:val="22"/>
              </w:rPr>
            </w:pPr>
            <w:r>
              <w:rPr>
                <w:b/>
                <w:sz w:val="22"/>
              </w:rPr>
            </w:r>
          </w:p>
        </w:tc>
      </w:tr>
      <w:tr>
        <w:trPr/>
        <w:tc>
          <w:tcPr>
            <w:tcW w:w="4248" w:type="dxa"/>
            <w:tcBorders/>
          </w:tcPr>
          <w:p>
            <w:pPr>
              <w:pStyle w:val="Normal"/>
              <w:rPr>
                <w:b/>
                <w:sz w:val="22"/>
                <w:lang w:eastAsia="ja-JP"/>
              </w:rPr>
            </w:pPr>
            <w:ins w:id="21" w:author="sshackl" w:date="2001-10-16T17:21:00Z">
              <w:r>
                <w:rPr>
                  <w:b/>
                  <w:sz w:val="22"/>
                  <w:lang w:eastAsia="ja-JP"/>
                </w:rPr>
                <w:t>Credit or Other Special Provisions:</w:t>
              </w:r>
            </w:ins>
            <w:del w:id="22" w:author="sshackl" w:date="2001-10-16T17:21:00Z">
              <w:r>
                <w:rPr>
                  <w:b/>
                  <w:sz w:val="22"/>
                  <w:lang w:eastAsia="ja-JP"/>
                </w:rPr>
                <w:delText>Guarantee</w:delText>
              </w:r>
            </w:del>
          </w:p>
        </w:tc>
        <w:tc>
          <w:tcPr>
            <w:tcW w:w="6102" w:type="dxa"/>
            <w:tcBorders/>
          </w:tcPr>
          <w:p>
            <w:pPr>
              <w:pStyle w:val="Normal"/>
              <w:jc w:val="both"/>
              <w:rPr>
                <w:sz w:val="22"/>
                <w:lang w:eastAsia="ja-JP"/>
              </w:rPr>
            </w:pPr>
            <w:r>
              <w:rPr>
                <w:sz w:val="22"/>
                <w:lang w:eastAsia="ja-JP"/>
              </w:rPr>
              <w:t xml:space="preserve">Enron Corp. will guarantee the obligations of EJC hereunder, by way of a guarantee in the form </w:t>
            </w:r>
            <w:r>
              <w:rPr>
                <w:sz w:val="22"/>
                <w:lang w:eastAsia="ja-JP"/>
              </w:rPr>
              <w:t>attached</w:t>
            </w:r>
            <w:r>
              <w:rPr>
                <w:sz w:val="22"/>
                <w:lang w:eastAsia="ja-JP"/>
              </w:rPr>
              <w:t xml:space="preserve"> hereto as Schedule 1</w:t>
            </w:r>
            <w:ins w:id="23" w:author="sshackl" w:date="2001-10-16T17:20:00Z">
              <w:r>
                <w:rPr>
                  <w:sz w:val="22"/>
                  <w:lang w:eastAsia="ja-JP"/>
                </w:rPr>
                <w:t>[was not attached}</w:t>
              </w:r>
            </w:ins>
          </w:p>
        </w:tc>
      </w:tr>
    </w:tbl>
    <w:p>
      <w:pPr>
        <w:pStyle w:val="Normal"/>
        <w:tabs>
          <w:tab w:val="clear" w:pos="720"/>
          <w:tab w:val="left" w:pos="9000" w:leader="none"/>
        </w:tabs>
        <w:rPr/>
      </w:pPr>
      <w:r>
        <w:rPr/>
        <w:tab/>
        <w:tab/>
      </w:r>
    </w:p>
    <w:tbl>
      <w:tblPr>
        <w:tblW w:w="10350" w:type="dxa"/>
        <w:jc w:val="start"/>
        <w:tblInd w:w="0" w:type="dxa"/>
        <w:tblLayout w:type="fixed"/>
        <w:tblCellMar>
          <w:top w:w="0" w:type="dxa"/>
          <w:start w:w="108" w:type="dxa"/>
          <w:bottom w:w="0" w:type="dxa"/>
          <w:end w:w="108" w:type="dxa"/>
        </w:tblCellMar>
      </w:tblPr>
      <w:tblGrid>
        <w:gridCol w:w="4248"/>
        <w:gridCol w:w="6102"/>
      </w:tblGrid>
      <w:tr>
        <w:trPr/>
        <w:tc>
          <w:tcPr>
            <w:tcW w:w="4248" w:type="dxa"/>
            <w:tcBorders/>
          </w:tcPr>
          <w:p>
            <w:pPr>
              <w:pStyle w:val="Normal"/>
              <w:rPr>
                <w:sz w:val="22"/>
              </w:rPr>
            </w:pPr>
            <w:del w:id="24" w:author="sshackl" w:date="2001-10-16T17:21:00Z">
              <w:r>
                <w:rPr>
                  <w:b/>
                  <w:sz w:val="22"/>
                </w:rPr>
                <w:delText>Credit or Other Special Provisions:</w:delText>
              </w:r>
            </w:del>
          </w:p>
        </w:tc>
        <w:tc>
          <w:tcPr>
            <w:tcW w:w="6102" w:type="dxa"/>
            <w:tcBorders/>
          </w:tcPr>
          <w:p>
            <w:pPr>
              <w:pStyle w:val="Normal"/>
              <w:jc w:val="both"/>
              <w:rPr>
                <w:sz w:val="22"/>
              </w:rPr>
            </w:pPr>
            <w:del w:id="25" w:author="sshackl" w:date="2001-10-16T17:21:00Z">
              <w:r>
                <w:rPr>
                  <w:sz w:val="22"/>
                </w:rPr>
                <w:delText>Not Applicable</w:delText>
              </w:r>
            </w:del>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rFonts w:eastAsia="Times New Roman"/>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kiloliters shall be rounded to two places, (iii) barrels shall be rounded to whole numbers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numPr>
          <w:ilvl w:val="0"/>
          <w:numId w:val="0"/>
        </w:numPr>
        <w:outlineLvl w:val="0"/>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lang w:eastAsia="ja-JP"/>
              </w:rPr>
            </w:pPr>
            <w:r>
              <w:rPr>
                <w:sz w:val="22"/>
                <w:lang w:eastAsia="ja-JP"/>
              </w:rPr>
              <w:t>Enron Japan Corp.</w:t>
            </w:r>
          </w:p>
        </w:tc>
        <w:tc>
          <w:tcPr>
            <w:tcW w:w="6012" w:type="dxa"/>
            <w:tcBorders/>
          </w:tcPr>
          <w:p>
            <w:pPr>
              <w:pStyle w:val="Normal"/>
              <w:rPr/>
            </w:pPr>
            <w:r>
              <w:rPr>
                <w:sz w:val="22"/>
                <w:lang w:eastAsia="ja-JP"/>
              </w:rPr>
              <w:t>Kobayashi Yoko Co., Ltd.</w:t>
            </w:r>
            <w:r>
              <w:rPr>
                <w:sz w:val="22"/>
              </w:rPr>
              <w:t xml:space="preserve"> </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rFonts w:eastAsia="Times New Roman"/>
                <w:sz w:val="22"/>
              </w:rPr>
            </w:pPr>
            <w:r>
              <w:rPr>
                <w:rFonts w:eastAsia="Times New Roman"/>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 __________________________</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b/>
              </w:rPr>
            </w:pPr>
            <w:r>
              <w:rPr>
                <w:sz w:val="22"/>
              </w:rPr>
              <w:t>Name: ________________________</w:t>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Title: _________________________</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p>
        </w:tc>
        <w:tc>
          <w:tcPr>
            <w:tcW w:w="6012" w:type="dxa"/>
            <w:tcBorders/>
          </w:tcPr>
          <w:p>
            <w:pPr>
              <w:pStyle w:val="Normal"/>
              <w:rPr>
                <w:sz w:val="22"/>
              </w:rPr>
            </w:pPr>
            <w:r>
              <w:rPr>
                <w:sz w:val="22"/>
              </w:rPr>
              <w:t xml:space="preserve">Date:  </w:t>
            </w:r>
          </w:p>
        </w:tc>
      </w:tr>
    </w:tbl>
    <w:p>
      <w:pPr>
        <w:pStyle w:val="Normal"/>
        <w:rPr>
          <w:b/>
          <w:sz w:val="22"/>
        </w:rPr>
      </w:pPr>
      <w:r>
        <w:rPr>
          <w:b/>
          <w:sz w:val="22"/>
        </w:rPr>
      </w:r>
    </w:p>
    <w:p>
      <w:pPr>
        <w:pStyle w:val="Normal"/>
        <w:jc w:val="both"/>
        <w:rPr>
          <w:b/>
          <w:sz w:val="22"/>
        </w:rPr>
      </w:pPr>
      <w:r>
        <w:rPr>
          <w:b/>
          <w:sz w:val="22"/>
        </w:rPr>
        <w:t xml:space="preserve">COUNTERPARTY: AFTER YOU HAVE CONFIRMED TRANSACTION, PLEASE RETURN TO EJC, ATTENTION:  </w:t>
      </w:r>
      <w:r>
        <w:rPr>
          <w:b/>
          <w:sz w:val="22"/>
          <w:lang w:eastAsia="ja-JP"/>
        </w:rPr>
        <w:t xml:space="preserve">CHIEF FINANCIAL OFFICER, </w:t>
      </w:r>
      <w:r>
        <w:rPr>
          <w:b/>
          <w:sz w:val="22"/>
        </w:rPr>
        <w:t xml:space="preserve">AT FAX NO </w:t>
      </w:r>
      <w:r>
        <w:rPr>
          <w:b/>
          <w:sz w:val="22"/>
        </w:rPr>
        <w:fldChar w:fldCharType="begin"/>
      </w:r>
      <w:r>
        <w:rPr>
          <w:sz w:val="22"/>
          <w:b/>
        </w:rPr>
        <w:instrText xml:space="preserve"> MERGEFIELD EnronFax </w:instrText>
      </w:r>
      <w:r>
        <w:rPr>
          <w:sz w:val="22"/>
          <w:b/>
        </w:rPr>
        <w:fldChar w:fldCharType="separate"/>
      </w:r>
      <w:r>
        <w:rPr>
          <w:sz w:val="22"/>
          <w:b/>
        </w:rPr>
        <w:t xml:space="preserve">(612) 92292300 </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EJC:</w:t>
            </w:r>
          </w:p>
        </w:tc>
        <w:tc>
          <w:tcPr>
            <w:tcW w:w="4932" w:type="dxa"/>
            <w:tcBorders/>
          </w:tcPr>
          <w:p>
            <w:pPr>
              <w:pStyle w:val="Normal"/>
              <w:rPr>
                <w:sz w:val="22"/>
              </w:rPr>
            </w:pPr>
            <w:r>
              <w:rPr>
                <w:b/>
                <w:sz w:val="22"/>
              </w:rPr>
              <w:t>Payment Account Information for EJC:</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rHeight w:val="1142" w:hRule="atLeast"/>
        </w:trPr>
        <w:tc>
          <w:tcPr>
            <w:tcW w:w="5508" w:type="dxa"/>
            <w:tcBorders/>
          </w:tcPr>
          <w:p>
            <w:pPr>
              <w:pStyle w:val="Normal"/>
              <w:widowControl w:val="false"/>
              <w:jc w:val="both"/>
              <w:rPr>
                <w:sz w:val="22"/>
                <w:lang w:eastAsia="ja-JP"/>
              </w:rPr>
            </w:pPr>
            <w:r>
              <w:rPr>
                <w:sz w:val="22"/>
                <w:lang w:eastAsia="ja-JP"/>
              </w:rPr>
              <w:t>Otemachi First Square Bldg.</w:t>
            </w:r>
          </w:p>
          <w:p>
            <w:pPr>
              <w:pStyle w:val="Normal"/>
              <w:widowControl w:val="false"/>
              <w:jc w:val="both"/>
              <w:rPr/>
            </w:pPr>
            <w:r>
              <w:rPr>
                <w:sz w:val="22"/>
                <w:lang w:eastAsia="ja-JP"/>
              </w:rPr>
              <w:t>West 11</w:t>
            </w:r>
            <w:r>
              <w:rPr>
                <w:sz w:val="22"/>
                <w:vertAlign w:val="superscript"/>
                <w:lang w:eastAsia="ja-JP"/>
              </w:rPr>
              <w:t>th</w:t>
            </w:r>
            <w:r>
              <w:rPr>
                <w:sz w:val="22"/>
                <w:lang w:eastAsia="ja-JP"/>
              </w:rPr>
              <w:t xml:space="preserve"> Floor </w:t>
            </w:r>
          </w:p>
          <w:p>
            <w:pPr>
              <w:pStyle w:val="Normal"/>
              <w:widowControl w:val="false"/>
              <w:jc w:val="both"/>
              <w:rPr>
                <w:sz w:val="22"/>
                <w:lang w:eastAsia="ja-JP"/>
              </w:rPr>
            </w:pPr>
            <w:r>
              <w:rPr>
                <w:sz w:val="22"/>
                <w:lang w:eastAsia="ja-JP"/>
              </w:rPr>
              <w:t>1-5-1 Otemachi, Chiyoda-ku</w:t>
            </w:r>
          </w:p>
          <w:p>
            <w:pPr>
              <w:pStyle w:val="Normal"/>
              <w:widowControl w:val="false"/>
              <w:jc w:val="both"/>
              <w:rPr>
                <w:sz w:val="22"/>
                <w:lang w:eastAsia="ja-JP"/>
              </w:rPr>
            </w:pPr>
            <w:r>
              <w:rPr>
                <w:sz w:val="22"/>
                <w:lang w:eastAsia="ja-JP"/>
              </w:rPr>
              <w:t>Tokyo 100-0004</w:t>
            </w:r>
          </w:p>
        </w:tc>
        <w:tc>
          <w:tcPr>
            <w:tcW w:w="4932" w:type="dxa"/>
            <w:tcBorders/>
          </w:tcPr>
          <w:p>
            <w:pPr>
              <w:pStyle w:val="Normal"/>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2"/>
              </w:rPr>
            </w:pPr>
            <w:r>
              <w:rPr>
                <w:sz w:val="22"/>
              </w:rPr>
              <w:t>Bank Name:</w:t>
              <w:tab/>
              <w:t>Chase Manhattan Bank</w:t>
            </w:r>
          </w:p>
          <w:p>
            <w:pPr>
              <w:pStyle w:val="Normal"/>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2"/>
              </w:rPr>
              <w:t>Branch N</w:t>
            </w:r>
            <w:r>
              <w:rPr>
                <w:sz w:val="22"/>
              </w:rPr>
              <w:t xml:space="preserve">ame: </w:t>
              <w:tab/>
              <w:t>Tokyo</w:t>
            </w:r>
          </w:p>
          <w:p>
            <w:pPr>
              <w:pStyle w:val="Normal"/>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2"/>
              </w:rPr>
              <w:t>Account Type:</w:t>
              <w:tab/>
            </w:r>
            <w:r>
              <w:rPr>
                <w:sz w:val="22"/>
                <w:lang w:eastAsia="ja-JP"/>
              </w:rPr>
              <w:t>Checking</w:t>
            </w:r>
          </w:p>
          <w:p>
            <w:pPr>
              <w:pStyle w:val="Normal"/>
              <w:widowControl w:val="false"/>
              <w:jc w:val="both"/>
              <w:rPr/>
            </w:pPr>
            <w:r>
              <w:rPr>
                <w:sz w:val="22"/>
              </w:rPr>
              <w:t>Account No.:</w:t>
              <w:tab/>
              <w:t>01100040</w:t>
            </w:r>
            <w:r>
              <w:rPr>
                <w:sz w:val="22"/>
                <w:lang w:eastAsia="ja-JP"/>
              </w:rPr>
              <w:t>33</w:t>
            </w:r>
          </w:p>
          <w:p>
            <w:pPr>
              <w:pStyle w:val="Normal"/>
              <w:widowControl w:val="false"/>
              <w:jc w:val="both"/>
              <w:rPr>
                <w:sz w:val="22"/>
                <w:lang w:eastAsia="ja-JP"/>
              </w:rPr>
            </w:pPr>
            <w:r>
              <w:rPr>
                <w:sz w:val="22"/>
                <w:lang w:eastAsia="ja-JP"/>
              </w:rPr>
              <w:t>Account Name:</w:t>
              <w:tab/>
              <w:t>Enron Japan Corp.</w:t>
            </w:r>
          </w:p>
        </w:tc>
      </w:tr>
      <w:tr>
        <w:trPr/>
        <w:tc>
          <w:tcPr>
            <w:tcW w:w="5508" w:type="dxa"/>
            <w:tcBorders/>
          </w:tcPr>
          <w:p>
            <w:pPr>
              <w:pStyle w:val="Normal"/>
              <w:widowControl w:val="false"/>
              <w:jc w:val="both"/>
              <w:rPr/>
            </w:pPr>
            <w:r>
              <w:rPr>
                <w:sz w:val="22"/>
              </w:rPr>
              <w:t xml:space="preserve">Attn: </w:t>
            </w:r>
            <w:r>
              <w:rPr>
                <w:sz w:val="22"/>
                <w:lang w:eastAsia="ja-JP"/>
              </w:rPr>
              <w:t xml:space="preserve">Chief Executive Officer    </w:t>
            </w:r>
          </w:p>
        </w:tc>
        <w:tc>
          <w:tcPr>
            <w:tcW w:w="4932" w:type="dxa"/>
            <w:tcBorders/>
          </w:tcPr>
          <w:p>
            <w:pPr>
              <w:pStyle w:val="Normal"/>
              <w:snapToGrid w:val="false"/>
              <w:rPr>
                <w:sz w:val="22"/>
                <w:lang w:eastAsia="ja-JP"/>
              </w:rPr>
            </w:pPr>
            <w:r>
              <w:rPr>
                <w:sz w:val="22"/>
                <w:lang w:eastAsia="ja-JP"/>
              </w:rPr>
            </w:r>
          </w:p>
        </w:tc>
      </w:tr>
      <w:tr>
        <w:trPr/>
        <w:tc>
          <w:tcPr>
            <w:tcW w:w="5508" w:type="dxa"/>
            <w:tcBorders/>
          </w:tcPr>
          <w:p>
            <w:pPr>
              <w:pStyle w:val="Normal"/>
              <w:rPr>
                <w:sz w:val="22"/>
              </w:rPr>
            </w:pPr>
            <w:r>
              <w:rPr>
                <w:sz w:val="22"/>
              </w:rPr>
              <w:t>Fax</w:t>
            </w:r>
            <w:r>
              <w:rPr>
                <w:sz w:val="22"/>
                <w:lang w:eastAsia="ja-JP"/>
              </w:rPr>
              <w:t xml:space="preserve"> No.</w:t>
            </w:r>
            <w:r>
              <w:rPr>
                <w:sz w:val="22"/>
              </w:rPr>
              <w:t xml:space="preserve">: </w:t>
            </w:r>
            <w:r>
              <w:rPr>
                <w:sz w:val="22"/>
                <w:lang w:eastAsia="ja-JP"/>
              </w:rPr>
              <w:t xml:space="preserve">    03-5219-4510 </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w:t>
            </w:r>
            <w:r>
              <w:rPr>
                <w:sz w:val="22"/>
                <w:lang w:eastAsia="ja-JP"/>
              </w:rPr>
              <w:t xml:space="preserve"> No.</w:t>
            </w:r>
            <w:r>
              <w:rPr>
                <w:sz w:val="22"/>
              </w:rPr>
              <w:t xml:space="preserve">: </w:t>
            </w:r>
            <w:r>
              <w:rPr>
                <w:sz w:val="22"/>
                <w:lang w:eastAsia="ja-JP"/>
              </w:rPr>
              <w:t>03-5219-4500</w:t>
            </w:r>
          </w:p>
        </w:tc>
        <w:tc>
          <w:tcPr>
            <w:tcW w:w="4932" w:type="dxa"/>
            <w:tcBorders/>
          </w:tcPr>
          <w:p>
            <w:pPr>
              <w:pStyle w:val="Normal"/>
              <w:snapToGrid w:val="false"/>
              <w:rPr>
                <w:sz w:val="22"/>
              </w:rPr>
            </w:pPr>
            <w:r>
              <w:rPr>
                <w:sz w:val="22"/>
              </w:rPr>
            </w:r>
          </w:p>
        </w:tc>
      </w:tr>
    </w:tbl>
    <w:p>
      <w:pPr>
        <w:pStyle w:val="Normal"/>
        <w:ind w:end="-360"/>
        <w:rPr>
          <w:sz w:val="22"/>
        </w:rPr>
      </w:pPr>
      <w:r>
        <w:rPr>
          <w:sz w:val="22"/>
        </w:rPr>
        <w:t>With a copy of any notice given pursuant to Section 3 or 4 of Annex A or Annex B, if any, to:</w:t>
      </w:r>
    </w:p>
    <w:p>
      <w:pPr>
        <w:pStyle w:val="Normal"/>
        <w:rPr>
          <w:sz w:val="22"/>
          <w:lang w:eastAsia="ja-JP"/>
        </w:rPr>
      </w:pPr>
      <w:r>
        <w:rPr>
          <w:sz w:val="22"/>
          <w:lang w:eastAsia="ja-JP"/>
        </w:rPr>
      </w:r>
    </w:p>
    <w:p>
      <w:pPr>
        <w:pStyle w:val="Normal"/>
        <w:widowControl w:val="false"/>
        <w:jc w:val="both"/>
        <w:rPr>
          <w:sz w:val="22"/>
          <w:lang w:eastAsia="ja-JP"/>
        </w:rPr>
      </w:pPr>
      <w:r>
        <w:rPr>
          <w:sz w:val="22"/>
          <w:lang w:eastAsia="ja-JP"/>
        </w:rPr>
        <w:t>Enron Japan Corp.</w:t>
      </w:r>
    </w:p>
    <w:p>
      <w:pPr>
        <w:pStyle w:val="Normal"/>
        <w:widowControl w:val="false"/>
        <w:jc w:val="both"/>
        <w:rPr>
          <w:sz w:val="22"/>
          <w:lang w:eastAsia="ja-JP"/>
        </w:rPr>
      </w:pPr>
      <w:r>
        <w:rPr>
          <w:sz w:val="22"/>
          <w:lang w:eastAsia="ja-JP"/>
        </w:rPr>
        <w:t>Otemachi First Square Bldg.</w:t>
      </w:r>
    </w:p>
    <w:p>
      <w:pPr>
        <w:pStyle w:val="Normal"/>
        <w:widowControl w:val="false"/>
        <w:jc w:val="both"/>
        <w:rPr/>
      </w:pPr>
      <w:r>
        <w:rPr>
          <w:sz w:val="22"/>
          <w:lang w:eastAsia="ja-JP"/>
        </w:rPr>
        <w:t>West 11</w:t>
      </w:r>
      <w:r>
        <w:rPr>
          <w:sz w:val="22"/>
          <w:vertAlign w:val="superscript"/>
          <w:lang w:eastAsia="ja-JP"/>
        </w:rPr>
        <w:t>th</w:t>
      </w:r>
      <w:r>
        <w:rPr>
          <w:sz w:val="22"/>
          <w:lang w:eastAsia="ja-JP"/>
        </w:rPr>
        <w:t xml:space="preserve"> Floor </w:t>
      </w:r>
    </w:p>
    <w:p>
      <w:pPr>
        <w:pStyle w:val="Normal"/>
        <w:widowControl w:val="false"/>
        <w:jc w:val="both"/>
        <w:rPr>
          <w:sz w:val="22"/>
          <w:lang w:eastAsia="ja-JP"/>
        </w:rPr>
      </w:pPr>
      <w:r>
        <w:rPr>
          <w:sz w:val="22"/>
          <w:lang w:eastAsia="ja-JP"/>
        </w:rPr>
        <w:t>1-5-1 Otemachi, Chiyoda-ku</w:t>
      </w:r>
    </w:p>
    <w:p>
      <w:pPr>
        <w:pStyle w:val="Normal"/>
        <w:widowControl w:val="false"/>
        <w:jc w:val="both"/>
        <w:rPr>
          <w:sz w:val="22"/>
          <w:lang w:eastAsia="ja-JP"/>
        </w:rPr>
      </w:pPr>
      <w:r>
        <w:rPr>
          <w:sz w:val="22"/>
          <w:lang w:eastAsia="ja-JP"/>
        </w:rPr>
        <w:t xml:space="preserve">Tokyo 100-0004 </w:t>
      </w:r>
    </w:p>
    <w:p>
      <w:pPr>
        <w:pStyle w:val="Normal"/>
        <w:widowControl w:val="false"/>
        <w:autoSpaceDE w:val="false"/>
        <w:rPr>
          <w:bCs/>
          <w:sz w:val="22"/>
          <w:lang w:eastAsia="ja-JP"/>
        </w:rPr>
      </w:pPr>
      <w:r>
        <w:rPr>
          <w:bCs/>
          <w:sz w:val="22"/>
          <w:lang w:eastAsia="ja-JP"/>
        </w:rPr>
      </w:r>
    </w:p>
    <w:p>
      <w:pPr>
        <w:pStyle w:val="Normal"/>
        <w:widowControl w:val="false"/>
        <w:autoSpaceDE w:val="false"/>
        <w:rPr>
          <w:sz w:val="22"/>
          <w:lang w:eastAsia="ja-JP"/>
        </w:rPr>
      </w:pPr>
      <w:r>
        <w:rPr>
          <w:bCs/>
          <w:sz w:val="22"/>
          <w:lang w:eastAsia="ja-JP"/>
        </w:rPr>
        <w:t>Attn.: Chief Accounting Officer</w:t>
      </w:r>
    </w:p>
    <w:p>
      <w:pPr>
        <w:pStyle w:val="Normal"/>
        <w:widowControl w:val="false"/>
        <w:autoSpaceDE w:val="false"/>
        <w:rPr>
          <w:sz w:val="22"/>
          <w:lang w:eastAsia="ja-JP"/>
        </w:rPr>
      </w:pPr>
      <w:r>
        <w:rPr>
          <w:sz w:val="22"/>
          <w:lang w:eastAsia="ja-JP"/>
        </w:rPr>
        <w:t>Fax No.: 03-5219-4510</w:t>
      </w:r>
    </w:p>
    <w:p>
      <w:pPr>
        <w:pStyle w:val="Normal"/>
        <w:rPr/>
      </w:pPr>
      <w:r>
        <w:rPr>
          <w:sz w:val="22"/>
          <w:lang w:eastAsia="ja-JP"/>
        </w:rPr>
        <w:t>Attn.:</w:t>
        <w:tab/>
        <w:t xml:space="preserve">Chief </w:t>
      </w:r>
      <w:r>
        <w:rPr>
          <w:sz w:val="22"/>
          <w:lang w:eastAsia="ja-JP"/>
        </w:rPr>
        <w:t>Financial</w:t>
      </w:r>
      <w:r>
        <w:rPr>
          <w:sz w:val="22"/>
          <w:lang w:eastAsia="ja-JP"/>
        </w:rPr>
        <w:t xml:space="preserve"> Officer</w:t>
      </w:r>
    </w:p>
    <w:p>
      <w:pPr>
        <w:pStyle w:val="Normal"/>
        <w:rPr/>
      </w:pPr>
      <w:r>
        <w:rPr>
          <w:sz w:val="22"/>
          <w:lang w:eastAsia="ja-JP"/>
        </w:rPr>
        <w:t>Fax No.:</w:t>
      </w:r>
      <w:r>
        <w:rPr>
          <w:sz w:val="22"/>
        </w:rPr>
        <w:t xml:space="preserve"> </w:t>
      </w:r>
      <w:r>
        <w:rPr>
          <w:sz w:val="22"/>
        </w:rPr>
        <w:fldChar w:fldCharType="begin"/>
      </w:r>
      <w:r>
        <w:rPr>
          <w:sz w:val="22"/>
        </w:rPr>
        <w:instrText xml:space="preserve"> MERGEFIELD EnronFax </w:instrText>
      </w:r>
      <w:r>
        <w:rPr>
          <w:sz w:val="22"/>
        </w:rPr>
        <w:fldChar w:fldCharType="separate"/>
      </w:r>
      <w:r>
        <w:rPr>
          <w:sz w:val="22"/>
        </w:rPr>
        <w:t xml:space="preserve">(612) 9229-2300 </w:t>
      </w:r>
      <w:r>
        <w:rPr>
          <w:sz w:val="22"/>
        </w:rPr>
        <w:fldChar w:fldCharType="end"/>
      </w:r>
      <w:r>
        <w:rPr>
          <w:sz w:val="22"/>
          <w:lang w:eastAsia="ja-JP"/>
        </w:rPr>
        <w:tab/>
      </w:r>
    </w:p>
    <w:p>
      <w:pPr>
        <w:pStyle w:val="Normal"/>
        <w:widowControl w:val="false"/>
        <w:jc w:val="both"/>
        <w:rPr>
          <w:sz w:val="22"/>
          <w:lang w:eastAsia="ja-JP"/>
        </w:rPr>
      </w:pPr>
      <w:r>
        <w:rPr>
          <w:sz w:val="22"/>
          <w:lang w:eastAsia="ja-JP"/>
        </w:rPr>
      </w:r>
    </w:p>
    <w:p>
      <w:pPr>
        <w:pStyle w:val="Normal"/>
        <w:widowControl w:val="false"/>
        <w:jc w:val="both"/>
        <w:rPr>
          <w:sz w:val="22"/>
          <w:lang w:eastAsia="ja-JP"/>
        </w:rPr>
      </w:pPr>
      <w:r>
        <w:rPr>
          <w:sz w:val="22"/>
          <w:lang w:eastAsia="ja-JP"/>
        </w:rPr>
        <w:t>Enron Japan Corp.</w:t>
      </w:r>
    </w:p>
    <w:p>
      <w:pPr>
        <w:pStyle w:val="Normal"/>
        <w:widowControl w:val="false"/>
        <w:jc w:val="both"/>
        <w:rPr>
          <w:sz w:val="22"/>
          <w:lang w:eastAsia="ja-JP"/>
        </w:rPr>
      </w:pPr>
      <w:r>
        <w:rPr>
          <w:sz w:val="22"/>
          <w:lang w:eastAsia="ja-JP"/>
        </w:rPr>
        <w:t>Otemachi First Square Bldg.</w:t>
      </w:r>
    </w:p>
    <w:p>
      <w:pPr>
        <w:pStyle w:val="Normal"/>
        <w:widowControl w:val="false"/>
        <w:jc w:val="both"/>
        <w:rPr/>
      </w:pPr>
      <w:r>
        <w:rPr>
          <w:sz w:val="22"/>
          <w:lang w:eastAsia="ja-JP"/>
        </w:rPr>
        <w:t>West 11</w:t>
      </w:r>
      <w:r>
        <w:rPr>
          <w:sz w:val="22"/>
          <w:vertAlign w:val="superscript"/>
          <w:lang w:eastAsia="ja-JP"/>
        </w:rPr>
        <w:t>th</w:t>
      </w:r>
      <w:r>
        <w:rPr>
          <w:sz w:val="22"/>
          <w:lang w:eastAsia="ja-JP"/>
        </w:rPr>
        <w:t xml:space="preserve"> Floor </w:t>
      </w:r>
    </w:p>
    <w:p>
      <w:pPr>
        <w:pStyle w:val="Normal"/>
        <w:widowControl w:val="false"/>
        <w:jc w:val="both"/>
        <w:rPr>
          <w:sz w:val="22"/>
          <w:lang w:eastAsia="ja-JP"/>
        </w:rPr>
      </w:pPr>
      <w:r>
        <w:rPr>
          <w:sz w:val="22"/>
          <w:lang w:eastAsia="ja-JP"/>
        </w:rPr>
        <w:t>1-5-1 Otemachi, Chiyoda-ku</w:t>
      </w:r>
    </w:p>
    <w:p>
      <w:pPr>
        <w:pStyle w:val="Normal"/>
        <w:widowControl w:val="false"/>
        <w:jc w:val="both"/>
        <w:rPr>
          <w:sz w:val="22"/>
          <w:lang w:eastAsia="ja-JP"/>
        </w:rPr>
      </w:pPr>
      <w:r>
        <w:rPr>
          <w:sz w:val="22"/>
          <w:lang w:eastAsia="ja-JP"/>
        </w:rPr>
        <w:t>Tokyo 100-0004</w:t>
      </w:r>
    </w:p>
    <w:p>
      <w:pPr>
        <w:pStyle w:val="Normal"/>
        <w:widowControl w:val="false"/>
        <w:jc w:val="both"/>
        <w:rPr>
          <w:sz w:val="22"/>
          <w:lang w:eastAsia="ja-JP"/>
        </w:rPr>
      </w:pPr>
      <w:r>
        <w:rPr>
          <w:sz w:val="22"/>
          <w:lang w:eastAsia="ja-JP"/>
        </w:rPr>
        <w:t>Attn.: Head of Legal Department</w:t>
      </w:r>
    </w:p>
    <w:p>
      <w:pPr>
        <w:pStyle w:val="Normal"/>
        <w:widowControl w:val="false"/>
        <w:jc w:val="both"/>
        <w:rPr>
          <w:sz w:val="22"/>
          <w:lang w:eastAsia="ja-JP"/>
        </w:rPr>
      </w:pPr>
      <w:r>
        <w:rPr>
          <w:sz w:val="22"/>
          <w:lang w:eastAsia="ja-JP"/>
        </w:rPr>
        <w:t>Fax No.: 03 5219 4510</w:t>
      </w:r>
    </w:p>
    <w:p>
      <w:pPr>
        <w:pStyle w:val="Normal"/>
        <w:rPr>
          <w:sz w:val="22"/>
          <w:lang w:eastAsia="ja-JP"/>
        </w:rPr>
      </w:pPr>
      <w:r>
        <w:rPr>
          <w:sz w:val="22"/>
          <w:lang w:eastAsia="ja-JP"/>
        </w:rPr>
      </w:r>
    </w:p>
    <w:p>
      <w:pPr>
        <w:pStyle w:val="Normal"/>
        <w:rPr>
          <w:sz w:val="22"/>
          <w:lang w:eastAsia="ja-JP"/>
        </w:rPr>
      </w:pPr>
      <w:r>
        <w:rPr>
          <w:sz w:val="22"/>
          <w:lang w:eastAsia="ja-JP"/>
        </w:rPr>
        <w:t>Enron Corp</w:t>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pPr>
      <w:r>
        <w:rPr>
          <w:sz w:val="22"/>
        </w:rPr>
        <w:t>Fax</w:t>
      </w:r>
      <w:r>
        <w:rPr>
          <w:sz w:val="22"/>
          <w:lang w:eastAsia="ja-JP"/>
        </w:rPr>
        <w:t xml:space="preserve"> No.</w:t>
      </w:r>
      <w:r>
        <w:rPr>
          <w:sz w:val="22"/>
        </w:rPr>
        <w:t>:  713</w:t>
      </w:r>
      <w:r>
        <w:rPr>
          <w:sz w:val="22"/>
          <w:lang w:eastAsia="ja-JP"/>
        </w:rPr>
        <w:t xml:space="preserve"> </w:t>
      </w:r>
      <w:r>
        <w:rPr>
          <w:sz w:val="22"/>
        </w:rPr>
        <w:t>646</w:t>
      </w:r>
      <w:r>
        <w:rPr>
          <w:sz w:val="22"/>
          <w:lang w:eastAsia="ja-JP"/>
        </w:rPr>
        <w:t xml:space="preserve"> </w:t>
      </w:r>
      <w:r>
        <w:rPr>
          <w:sz w:val="22"/>
        </w:rPr>
        <w:t>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sectPr>
          <w:headerReference w:type="default" r:id="rId2"/>
          <w:footerReference w:type="default" r:id="rId3"/>
          <w:type w:val="nextPage"/>
          <w:pgSz w:w="12240" w:h="15840"/>
          <w:pgMar w:left="1152" w:right="864" w:gutter="0" w:header="720" w:top="864" w:footer="720" w:bottom="776"/>
          <w:pgNumType w:fmt="decimal"/>
          <w:formProt w:val="false"/>
          <w:textDirection w:val="lrTb"/>
          <w:docGrid w:type="default" w:linePitch="360" w:charSpace="0"/>
        </w:sectPr>
        <w:pStyle w:val="Normal"/>
        <w:rPr>
          <w:b/>
          <w:sz w:val="22"/>
        </w:rPr>
      </w:pPr>
      <w:r>
        <w:rPr>
          <w:b/>
          <w:sz w:val="22"/>
        </w:rPr>
        <w:t>COUNTERPARTY: PLEASE PROVIDE ABOVE REQUESTED INFORMATION IF NOT PROVIDED PREVIOUSLY OR IF CHANGES HAVE OCCURRED</w:t>
      </w: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EJ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(iii)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(iii) (A) it has read and fully understands the terms of the Transaction; (B) it is entering into the Transaction to hedge risks arising in the ordinary course of its business, and (C) accordingly, it has a legitimate business purpose to enter into such Transaction; (c)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(d)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Japanese Yen)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civil rehabilitation,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(f) the Defaulting Party (1) has a pre-judgment attachment (</w:t>
      </w:r>
      <w:r>
        <w:rPr>
          <w:rFonts w:cs="Arial Narrow" w:ascii="Arial Narrow" w:hAnsi="Arial Narrow"/>
          <w:i/>
          <w:iCs/>
          <w:sz w:val="18"/>
        </w:rPr>
        <w:t>karisashiosae</w:t>
      </w:r>
      <w:r>
        <w:rPr>
          <w:rFonts w:cs="Arial Narrow" w:ascii="Arial Narrow" w:hAnsi="Arial Narrow"/>
          <w:sz w:val="18"/>
        </w:rPr>
        <w:t>), post-judgment attachment (</w:t>
      </w:r>
      <w:r>
        <w:rPr>
          <w:rFonts w:cs="Arial Narrow" w:ascii="Arial Narrow" w:hAnsi="Arial Narrow"/>
          <w:i/>
          <w:iCs/>
          <w:sz w:val="18"/>
        </w:rPr>
        <w:t>sashiosae</w:t>
      </w:r>
      <w:r>
        <w:rPr>
          <w:rFonts w:cs="Arial Narrow" w:ascii="Arial Narrow" w:hAnsi="Arial Narrow"/>
          <w:sz w:val="18"/>
        </w:rPr>
        <w:t>) or other court order of enforcement issued in respect of any of its assets (other than its rights under this Confirmation) in relation to a debt or debts in an aggregate amount of not less than [    ] (or the equivalent in any currency) and such attachment or other court order of enforcement is not dismissed, discharged, stayed or restrained in each case within 30 days of the date of the issue thereof, (2) has a pre-judgment attachment (</w:t>
      </w:r>
      <w:r>
        <w:rPr>
          <w:rFonts w:cs="Arial Narrow" w:ascii="Arial Narrow" w:hAnsi="Arial Narrow"/>
          <w:i/>
          <w:iCs/>
          <w:sz w:val="18"/>
        </w:rPr>
        <w:t>karisashiosae</w:t>
      </w:r>
      <w:r>
        <w:rPr>
          <w:rFonts w:cs="Arial Narrow" w:ascii="Arial Narrow" w:hAnsi="Arial Narrow"/>
          <w:sz w:val="18"/>
        </w:rPr>
        <w:t>), post-judgment attachment (</w:t>
      </w:r>
      <w:r>
        <w:rPr>
          <w:rFonts w:cs="Arial Narrow" w:ascii="Arial Narrow" w:hAnsi="Arial Narrow"/>
          <w:i/>
          <w:iCs/>
          <w:sz w:val="18"/>
        </w:rPr>
        <w:t>sashiosae</w:t>
      </w:r>
      <w:r>
        <w:rPr>
          <w:rFonts w:cs="Arial Narrow" w:ascii="Arial Narrow" w:hAnsi="Arial Narrow"/>
          <w:sz w:val="18"/>
        </w:rPr>
        <w:t>) or other court order of enforcement issued in respect of any of its rights under this Confirmation, or (3) has clearance of its bills of exchange, promissory notes or checks suspended by any clearing house in Japan; or (g)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provided, however, that an Early Termination Date in respect of all outstanding Transactions will automatically occur immediately upon the occurrence of an Event of Default specified in Section 3(f), and as of the time immediately preceding the institution of the relevant proceeding or the presentation of the relevant petition upon the occurrence of an Event of Default specified in Section 3(d).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autoSpaceDE w:val="false"/>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xml:space="preserve">.  </w:t>
      </w:r>
      <w:r>
        <w:rPr>
          <w:rFonts w:cs="Courier New" w:ascii="Arial Narrow" w:hAnsi="Arial Narrow"/>
          <w:sz w:val="18"/>
        </w:rPr>
        <w:t>(A) Upon the designation [or deemed designation] of an Early Termination Date, the non-defaulting party ("X") may, at its option and in its discretion, setoff, against any amounts Owed to the Defaulting Party ("Y") by X or any Affiliate of X under this Confirmation or under any other agreement(s), instrument(s) or undertaking(s), any amounts Owed by Y to X or any of X's Affiliates under this Confirmation or under any other agreement(s), instrument(s) or undertaking(s).  The obligations of Y and X under this Confirmation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5, "Owed" shall mean any amounts owed or otherwise accrued and payable (regardless of whether such amounts have been or could be invoiced) as of the Early Termination Date.  Amounts subject to the setoff permitted in this Section 5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5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Section 5 are an integral part of the agreement between the parties and that without such rights the parties would not be willing to enter into Transactions.  The parties further acknowledge that each is executing this Confirmation on behalf of itself as principal and, with respect to this Section 5, as agent on behalf of its Affiliates, which Affiliates shall receive the benefits of this Section 5 and otherwise be bound as if such Affiliates had directly signed this Confirmation as it relates to this Section 5.</w:t>
      </w:r>
    </w:p>
    <w:p>
      <w:pPr>
        <w:pStyle w:val="Normal"/>
        <w:autoSpaceDE w:val="false"/>
        <w:jc w:val="both"/>
        <w:rPr>
          <w:rFonts w:ascii="Arial Narrow" w:hAnsi="Arial Narrow" w:cs="Courier New"/>
          <w:sz w:val="18"/>
        </w:rPr>
      </w:pPr>
      <w:r>
        <w:rPr>
          <w:rFonts w:cs="Courier New" w:ascii="Arial Narrow" w:hAnsi="Arial Narrow"/>
          <w:sz w:val="18"/>
        </w:rPr>
      </w:r>
    </w:p>
    <w:p>
      <w:pPr>
        <w:pStyle w:val="Normal"/>
        <w:autoSpaceDE w:val="false"/>
        <w:jc w:val="both"/>
        <w:rPr>
          <w:rFonts w:ascii="Arial Narrow" w:hAnsi="Arial Narrow" w:cs="Arial Narrow"/>
          <w:sz w:val="18"/>
        </w:rPr>
      </w:pPr>
      <w:r>
        <w:rPr>
          <w:rFonts w:cs="Courier New" w:ascii="Arial Narrow" w:hAnsi="Arial Narrow"/>
          <w:sz w:val="18"/>
        </w:rPr>
        <w:t>(B) Notwithstanding any provision to the contrary contained in this Confirmation, the non-defaulting party shall not be required to pay to the Defaulting Party any amount under this Section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w:t>
      </w:r>
      <w:r>
        <w:rPr>
          <w:rStyle w:val="FootnoteCharacters"/>
          <w:rStyle w:val="FootnoteReference"/>
          <w:rFonts w:cs="Courier New" w:ascii="Arial Narrow" w:hAnsi="Arial Narrow"/>
          <w:sz w:val="18"/>
        </w:rPr>
        <w:footnoteReference w:id="2"/>
      </w:r>
      <w:r>
        <w:rPr>
          <w:rFonts w:cs="Courier New" w:ascii="Arial Narrow" w:hAnsi="Arial Narrow"/>
          <w:sz w:val="18"/>
        </w:rPr>
        <w:t xml:space="preserve"> under this Agreement or under any other agreement(s), instrument(s) or undertaking(s), which are Owed as of the Early Termination Date have been fully and finally satisfied.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Japan;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BodyText"/>
        <w:tabs>
          <w:tab w:val="clear" w:pos="180"/>
          <w:tab w:val="left" w:pos="810" w:leader="none"/>
          <w:tab w:val="left" w:pos="1170" w:leader="none"/>
        </w:tabs>
        <w:rPr/>
      </w:pPr>
      <w:r>
        <w:rPr/>
        <w:t>With respect to any suit, action or proceeding relating to this Confirmation, each party irrevocably submits to the non-exclusive jurisdiction of the Tokyo District Court and acknowledges and agrees to keep any such suit, action or proceeding and any related award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EJ,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b/>
          <w:bCs/>
          <w:sz w:val="18"/>
          <w:u w:val="single"/>
        </w:rPr>
        <w:t>Netting</w:t>
      </w:r>
      <w:r>
        <w:rPr>
          <w:rFonts w:cs="Arial Narrow" w:ascii="Arial Narrow" w:hAnsi="Arial Narrow"/>
          <w:sz w:val="18"/>
        </w:rPr>
        <w:t>.  If on any date amounts would otherwise be payable: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numPr>
          <w:ilvl w:val="0"/>
          <w:numId w:val="2"/>
        </w:numPr>
        <w:tabs>
          <w:tab w:val="clear" w:pos="720"/>
        </w:tabs>
        <w:ind w:hanging="720" w:start="709" w:end="0"/>
        <w:jc w:val="both"/>
        <w:rPr>
          <w:rFonts w:ascii="Arial Narrow" w:hAnsi="Arial Narrow" w:cs="Arial Narrow"/>
          <w:sz w:val="18"/>
        </w:rPr>
      </w:pPr>
      <w:r>
        <w:rPr>
          <w:rFonts w:cs="Arial Narrow" w:ascii="Arial Narrow" w:hAnsi="Arial Narrow"/>
          <w:sz w:val="18"/>
        </w:rPr>
        <w:t>in the same currency; and</w:t>
      </w:r>
    </w:p>
    <w:p>
      <w:pPr>
        <w:pStyle w:val="Normal"/>
        <w:ind w:start="709" w:end="0"/>
        <w:jc w:val="both"/>
        <w:rPr>
          <w:rFonts w:ascii="Arial Narrow" w:hAnsi="Arial Narrow" w:cs="Arial Narrow"/>
          <w:sz w:val="18"/>
        </w:rPr>
      </w:pPr>
      <w:r>
        <w:rPr>
          <w:rFonts w:cs="Arial Narrow" w:ascii="Arial Narrow" w:hAnsi="Arial Narrow"/>
          <w:sz w:val="18"/>
        </w:rPr>
      </w:r>
    </w:p>
    <w:p>
      <w:pPr>
        <w:pStyle w:val="Normal"/>
        <w:numPr>
          <w:ilvl w:val="0"/>
          <w:numId w:val="2"/>
        </w:numPr>
        <w:tabs>
          <w:tab w:val="clear" w:pos="720"/>
        </w:tabs>
        <w:ind w:hanging="720" w:start="709" w:end="0"/>
        <w:jc w:val="both"/>
        <w:rPr>
          <w:rFonts w:ascii="Arial Narrow" w:hAnsi="Arial Narrow" w:cs="Arial Narrow"/>
          <w:sz w:val="18"/>
        </w:rPr>
      </w:pPr>
      <w:r>
        <w:rPr>
          <w:rFonts w:cs="Arial Narrow" w:ascii="Arial Narrow" w:hAnsi="Arial Narrow"/>
          <w:sz w:val="18"/>
        </w:rPr>
        <w:t>in respect of the same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BodyText"/>
        <w:tabs>
          <w:tab w:val="clear" w:pos="180"/>
          <w:tab w:val="left" w:pos="810" w:leader="none"/>
          <w:tab w:val="left" w:pos="1170" w:leader="none"/>
        </w:tabs>
        <w:rPr/>
      </w:pPr>
      <w:r>
        <w:rPr/>
        <w:t>by each party to the other, then, on such date, each party’s obligation to make payment of any such amount will be automatically satisfied and discharged and, if the aggregate amount that would otherwise have been payable by one party exceeds the aggregate amount that would otherwise have been payable by the other party, replaced by an obligation upon the party by whom the larger aggregate amount would have been payable to pay to the other party the excess of the larger aggregate amount over the smaller aggregate amount.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parties may elect in respect of two or more Transactions that a net amount will be determined in respect of all amounts payable on the same date in the same currency in respect of such Transactions, regardless of whether such amounts are payable in respect of the same Transaction.  The election may be made in the Confirmation by specifying that subparagraph (ii) above will not apply to the Transactions identified as being subject to the election, together with the starting date (in which case subaragraph (ii) above will not, or will cease to, apply to such Transactions from such date).  This election may be made separately for different groups of Transactions and will apply separately to each pairing of Offices through which the parties make and receive payment or deliveries.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9.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banks are open for business in Tokyo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iCs/>
          <w:sz w:val="18"/>
        </w:rPr>
        <w:t>Credit Support Document</w:t>
      </w:r>
      <w:r>
        <w:rPr>
          <w:rFonts w:cs="Arial Narrow" w:ascii="Arial Narrow" w:hAnsi="Arial Narrow"/>
          <w:sz w:val="18"/>
        </w:rPr>
        <w:t>” means any agreement or instrument that is specified as such in this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means (a) with respect to a non-defaulting party, a per annum rate of interest equal to [TIBOR] and (b) with respect to a Defaulting Party, a per annum rate of interest equal to two percent (2%) over [TIBOR];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EJ):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Tokyo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iCs/>
          <w:sz w:val="18"/>
        </w:rPr>
        <w:t>TIBOR</w:t>
      </w:r>
      <w:r>
        <w:rPr>
          <w:rFonts w:cs="Arial Narrow" w:ascii="Arial Narrow" w:hAnsi="Arial Narrow"/>
          <w:sz w:val="18"/>
        </w:rPr>
        <w:t xml:space="preserve">” means </w:t>
      </w:r>
      <w:r>
        <w:rPr>
          <w:rFonts w:cs="Arial Narrow" w:ascii="Arial Narrow" w:hAnsi="Arial Narrow"/>
          <w:sz w:val="18"/>
          <w:lang w:eastAsia="ja-JP"/>
        </w:rPr>
        <w:t xml:space="preserve">that the rate for a Reset Date will be the rate for deposits in Yen for a period of the Designated Maturity which appears on the Reuters Screen ZTIBOR Page as of 11:00 a.m., Tokyo time, on the day that is two Tokyo Banking Days preceding that Reset Date.  If such rate does not appear on the Reuters Screen ZTIBOR Page, the rate for that Reset Date will be determined as if the parties had specified </w:t>
      </w:r>
      <w:r>
        <w:rPr>
          <w:rFonts w:cs="Arial Narrow" w:ascii="Arial Narrow" w:hAnsi="Arial Narrow"/>
          <w:sz w:val="18"/>
          <w:lang w:eastAsia="ja-JP"/>
        </w:rPr>
        <w:t>“</w:t>
      </w:r>
      <w:r>
        <w:rPr>
          <w:rFonts w:cs="Arial Narrow" w:ascii="Arial Narrow" w:hAnsi="Arial Narrow"/>
          <w:sz w:val="18"/>
          <w:lang w:eastAsia="ja-JP"/>
        </w:rPr>
        <w:t>JPY-TIBOR-TIBM-Reference Banks</w:t>
      </w:r>
      <w:r>
        <w:rPr>
          <w:rFonts w:cs="Arial Narrow" w:ascii="Arial Narrow" w:hAnsi="Arial Narrow"/>
          <w:sz w:val="18"/>
          <w:lang w:eastAsia="ja-JP"/>
        </w:rPr>
        <w:t>”</w:t>
      </w:r>
      <w:r>
        <w:rPr>
          <w:rFonts w:cs="Arial Narrow" w:ascii="Arial Narrow" w:hAnsi="Arial Narrow"/>
          <w:sz w:val="18"/>
          <w:lang w:eastAsia="ja-JP"/>
        </w:rPr>
        <w:t xml:space="preserve"> as the applicable Floating Rate Option</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sz w:val="22"/>
        </w:rPr>
      </w:pPr>
      <w:r>
        <w:rPr>
          <w:sz w:val="22"/>
        </w:rPr>
      </w:r>
    </w:p>
    <w:p>
      <w:pPr>
        <w:pStyle w:val="Normal"/>
        <w:rPr>
          <w:sz w:val="22"/>
        </w:rPr>
      </w:pPr>
      <w:r>
        <w:rPr>
          <w:sz w:val="22"/>
        </w:rPr>
      </w:r>
    </w:p>
    <w:sectPr>
      <w:headerReference w:type="default" r:id="rId4"/>
      <w:headerReference w:type="first" r:id="rId5"/>
      <w:footerReference w:type="default" r:id="rId6"/>
      <w:footerReference w:type="first" r:id="rId7"/>
      <w:footnotePr>
        <w:numFmt w:val="decimal"/>
      </w:footnotePr>
      <w:type w:val="nextPage"/>
      <w:pgSz w:w="12240" w:h="15840"/>
      <w:pgMar w:left="936" w:right="936" w:gutter="0" w:header="432" w:top="720" w:footer="576" w:bottom="720"/>
      <w:pgNumType w:start="1" w:fmt="decimal"/>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lang w:eastAsia="ja-JP"/>
      </w:rPr>
      <w:fldChar w:fldCharType="begin"/>
    </w:r>
    <w:r>
      <w:rPr>
        <w:sz w:val="16"/>
        <w:lang w:eastAsia="ja-JP"/>
      </w:rPr>
      <w:instrText xml:space="preserve"> FILENAME \p </w:instrText>
    </w:r>
    <w:r>
      <w:rPr>
        <w:sz w:val="16"/>
        <w:lang w:eastAsia="ja-JP"/>
      </w:rPr>
      <w:fldChar w:fldCharType="separate"/>
    </w:r>
    <w:r>
      <w:rPr>
        <w:sz w:val="16"/>
        <w:lang w:eastAsia="ja-JP"/>
      </w:rPr>
      <w:t>/mnt/main-storage/datasets/enron-docs/doc/Enron_Japan_Corp.R1.doc</w:t>
    </w:r>
    <w:r>
      <w:rPr>
        <w:sz w:val="16"/>
        <w:lang w:eastAsia="ja-JP"/>
      </w:rPr>
      <w:fldChar w:fldCharType="end"/>
    </w:r>
    <w:r>
      <w:rPr>
        <w:rFonts w:eastAsia="Times New Roman"/>
        <w:sz w:val="16"/>
        <w:lang w:eastAsia="ja-JP"/>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55.0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1</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Arial Narrow" w:hAnsi="Arial Narrow" w:cs="Arial Narrow"/>
          <w:sz w:val="18"/>
        </w:rPr>
      </w:pPr>
      <w:r>
        <w:rPr>
          <w:rStyle w:val="FootnoteCharacters"/>
        </w:rPr>
        <w:footnoteRef/>
      </w:r>
      <w:r>
        <w:rPr>
          <w:rFonts w:cs="Arial Narrow" w:ascii="Arial Narrow" w:hAnsi="Arial Narrow"/>
          <w:sz w:val="18"/>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jc w:val="center"/>
      <w:rPr>
        <w:b/>
        <w:sz w:val="22"/>
      </w:rPr>
    </w:pPr>
    <w:r>
      <w:rPr>
        <w:b/>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18"/>
      </w:rPr>
    </w:pPr>
    <w:r>
      <w:rPr>
        <w:rFonts w:cs="Arial Narrow" w:ascii="Arial Narrow" w:hAnsi="Arial Narrow"/>
        <w:b/>
        <w:sz w:val="18"/>
        <w:u w:val="single"/>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MS Mincho;ＭＳ 明朝"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2001-10-16T19:17:00Z</dcterms:created>
  <dc:creator>ECT</dc:creator>
  <dc:description/>
  <dc:language>en-CA</dc:language>
  <cp:lastModifiedBy>sshackl</cp:lastModifiedBy>
  <cp:lastPrinted>2001-10-16T17:22:00Z</cp:lastPrinted>
  <dcterms:modified xsi:type="dcterms:W3CDTF">2001-10-16T19:53:00Z</dcterms:modified>
  <cp:revision>5</cp:revision>
  <dc:subject>Public Service Electric and Gas Company</dc:subject>
  <dc:title>N53230.2</dc:title>
</cp:coreProperties>
</file>