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Contract No.  </w:t>
      </w:r>
      <w:r>
        <w:fldChar w:fldCharType="begin">
          <w:ffData>
            <w:name w:val="Text3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jc w:val="center"/>
        <w:rPr>
          <w:b/>
        </w:rPr>
      </w:pPr>
      <w:r>
        <w:rPr>
          <w:b/>
        </w:rPr>
        <w:t>REUTERS AMERICA INC.</w:t>
      </w:r>
    </w:p>
    <w:p>
      <w:pPr>
        <w:pStyle w:val="Heading2"/>
        <w:ind w:hanging="0" w:start="0"/>
        <w:rPr/>
      </w:pPr>
      <w:r>
        <w:rPr/>
        <w:t>INTERNET SERVICES AGREEMENT</w:t>
      </w:r>
    </w:p>
    <w:p>
      <w:pPr>
        <w:pStyle w:val="Heading2"/>
        <w:ind w:hanging="0" w:start="0"/>
        <w:rPr/>
      </w:pPr>
      <w:r>
        <w:rPr/>
        <w:t>ORDER FORM (No. 1)</w:t>
      </w: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4158"/>
        <w:gridCol w:w="2160"/>
        <w:gridCol w:w="2160"/>
        <w:gridCol w:w="1530"/>
      </w:tblGrid>
      <w:tr>
        <w:trPr>
          <w:trHeight w:val="665" w:hRule="atLeast"/>
        </w:trPr>
        <w:tc>
          <w:tcPr>
            <w:tcW w:w="6318"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Name of Legal Entity Subscribing to Services (“</w:t>
            </w:r>
            <w:r>
              <w:rPr>
                <w:b/>
              </w:rPr>
              <w:t>Distributor</w:t>
            </w:r>
            <w:r>
              <w:rPr/>
              <w:t>”)</w:t>
            </w:r>
          </w:p>
          <w:p>
            <w:pPr>
              <w:pStyle w:val="Header"/>
              <w:tabs>
                <w:tab w:val="clear" w:pos="4320"/>
                <w:tab w:val="clear" w:pos="8640"/>
              </w:tabs>
              <w:rPr/>
            </w:pPr>
            <w:r>
              <w:rPr/>
              <w:t>Enron Corp.</w:t>
            </w:r>
          </w:p>
        </w:tc>
        <w:tc>
          <w:tcPr>
            <w:tcW w:w="3690" w:type="dxa"/>
            <w:gridSpan w:val="2"/>
            <w:tcBorders>
              <w:top w:val="single" w:sz="4" w:space="0" w:color="000000"/>
              <w:start w:val="single" w:sz="4" w:space="0" w:color="000000"/>
              <w:bottom w:val="single" w:sz="4" w:space="0" w:color="000000"/>
              <w:end w:val="single" w:sz="4" w:space="0" w:color="000000"/>
            </w:tcBorders>
          </w:tcPr>
          <w:p>
            <w:pPr>
              <w:pStyle w:val="Normal"/>
              <w:rPr/>
            </w:pPr>
            <w:r>
              <w:rPr/>
              <w:t>State/Country of Incorporation</w:t>
            </w:r>
          </w:p>
          <w:p>
            <w:pPr>
              <w:pStyle w:val="Normal"/>
              <w:rPr/>
            </w:pPr>
            <w:r>
              <w:rPr/>
              <w:t>TX /USA</w:t>
            </w:r>
          </w:p>
        </w:tc>
      </w:tr>
      <w:tr>
        <w:trPr>
          <w:trHeight w:val="665" w:hRule="atLeast"/>
        </w:trPr>
        <w:tc>
          <w:tcPr>
            <w:tcW w:w="41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Principal Street Address</w:t>
            </w:r>
          </w:p>
          <w:p>
            <w:pPr>
              <w:pStyle w:val="Header"/>
              <w:tabs>
                <w:tab w:val="clear" w:pos="4320"/>
                <w:tab w:val="clear" w:pos="8640"/>
              </w:tabs>
              <w:rPr/>
            </w:pPr>
            <w:r>
              <w:rPr/>
              <w:t>1400 Smith Street</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City</w:t>
            </w:r>
          </w:p>
          <w:p>
            <w:pPr>
              <w:pStyle w:val="Header"/>
              <w:tabs>
                <w:tab w:val="clear" w:pos="4320"/>
                <w:tab w:val="clear" w:pos="8640"/>
              </w:tabs>
              <w:rPr/>
            </w:pPr>
            <w:r>
              <w:rPr/>
              <w:t>Houston</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State</w:t>
            </w:r>
          </w:p>
          <w:p>
            <w:pPr>
              <w:pStyle w:val="Header"/>
              <w:tabs>
                <w:tab w:val="clear" w:pos="4320"/>
                <w:tab w:val="clear" w:pos="8640"/>
              </w:tabs>
              <w:rPr/>
            </w:pPr>
            <w:r>
              <w:rPr/>
              <w:t>TX</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Zip Code</w:t>
            </w:r>
          </w:p>
          <w:p>
            <w:pPr>
              <w:pStyle w:val="Normal"/>
              <w:rPr/>
            </w:pPr>
            <w:r>
              <w:rPr/>
              <w:t>77002</w:t>
            </w:r>
          </w:p>
        </w:tc>
      </w:tr>
      <w:tr>
        <w:trPr>
          <w:trHeight w:val="665" w:hRule="atLeast"/>
        </w:trPr>
        <w:tc>
          <w:tcPr>
            <w:tcW w:w="41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Contact Person (at above address)</w:t>
            </w:r>
          </w:p>
          <w:p>
            <w:pPr>
              <w:pStyle w:val="Normal"/>
              <w:rPr/>
            </w:pPr>
            <w:r>
              <w:rPr/>
              <w:t>David Samuels</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Phone</w:t>
            </w:r>
            <w:bookmarkStart w:id="0" w:name="Text10"/>
            <w:bookmarkEnd w:id="0"/>
            <w:r>
              <w:rPr/>
              <w:t>:</w:t>
              <w:tab/>
              <w:t>713-853-6931</w:t>
            </w:r>
          </w:p>
          <w:p>
            <w:pPr>
              <w:pStyle w:val="Normal"/>
              <w:rPr>
                <w:b/>
              </w:rPr>
            </w:pPr>
            <w:r>
              <w:rPr/>
              <w:t>Fax:</w:t>
              <w:tab/>
            </w:r>
            <w:bookmarkStart w:id="1" w:name="Text10"/>
            <w:bookmarkStart w:id="2" w:name="Text9"/>
            <w:bookmarkStart w:id="3" w:name="Text11"/>
            <w:bookmarkEnd w:id="1"/>
            <w:bookmarkEnd w:id="3"/>
            <w:r>
              <w:rPr/>
              <w:t>713-646-2308</w:t>
            </w:r>
          </w:p>
          <w:p>
            <w:pPr>
              <w:pStyle w:val="Normal"/>
              <w:rPr>
                <w:b/>
              </w:rPr>
            </w:pPr>
            <w:r>
              <w:rPr>
                <w:b/>
              </w:rPr>
            </w:r>
            <w:bookmarkEnd w:id="2"/>
          </w:p>
        </w:tc>
        <w:tc>
          <w:tcPr>
            <w:tcW w:w="3690" w:type="dxa"/>
            <w:gridSpan w:val="2"/>
            <w:tcBorders>
              <w:top w:val="single" w:sz="4" w:space="0" w:color="000000"/>
              <w:start w:val="single" w:sz="4" w:space="0" w:color="000000"/>
              <w:bottom w:val="single" w:sz="4" w:space="0" w:color="000000"/>
              <w:end w:val="single" w:sz="4" w:space="0" w:color="000000"/>
            </w:tcBorders>
          </w:tcPr>
          <w:p>
            <w:pPr>
              <w:pStyle w:val="Normal"/>
              <w:rPr/>
            </w:pPr>
            <w:r>
              <w:rPr/>
              <w:t>E-mail</w:t>
            </w:r>
          </w:p>
          <w:p>
            <w:pPr>
              <w:pStyle w:val="Normal"/>
              <w:rPr/>
            </w:pPr>
            <w:r>
              <w:rPr/>
              <w:t>dave.samuels@enron.com</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Billing Contact Name &amp; Address</w:t>
            </w:r>
          </w:p>
          <w:p>
            <w:pPr>
              <w:pStyle w:val="Header"/>
              <w:tabs>
                <w:tab w:val="clear" w:pos="4320"/>
                <w:tab w:val="clear" w:pos="8640"/>
              </w:tabs>
              <w:rPr/>
            </w:pPr>
            <w:r>
              <w:rPr/>
              <w:t>1400 Smith Street, Houston, TX  77002</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Address Where Distributor Will Receive Reuters Services (“</w:t>
            </w:r>
            <w:r>
              <w:rPr>
                <w:b/>
              </w:rPr>
              <w:t>Distributor’s Installation Address</w:t>
            </w:r>
            <w:r>
              <w:rPr/>
              <w:t>”)</w:t>
            </w:r>
          </w:p>
          <w:p>
            <w:pPr>
              <w:pStyle w:val="Header"/>
              <w:tabs>
                <w:tab w:val="clear" w:pos="4320"/>
                <w:tab w:val="clear" w:pos="8640"/>
              </w:tabs>
              <w:rPr/>
            </w:pPr>
            <w:r>
              <w:rPr/>
              <w:t>1400 Smith Street, Houston, TX   77002</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Description and URL of Distributor’s Internet Service(s) (“</w:t>
            </w:r>
            <w:r>
              <w:rPr>
                <w:b/>
              </w:rPr>
              <w:t>Distributor’s Internet Service</w:t>
            </w:r>
            <w:r>
              <w:rPr/>
              <w:t>”)</w:t>
            </w:r>
          </w:p>
          <w:p>
            <w:pPr>
              <w:pStyle w:val="Header"/>
              <w:tabs>
                <w:tab w:val="clear" w:pos="4320"/>
                <w:tab w:val="clear" w:pos="8640"/>
              </w:tabs>
              <w:jc w:val="both"/>
              <w:rPr/>
            </w:pPr>
            <w:r>
              <w:rPr/>
              <w:t>The Web-based services owned and/or operated by Distributor at the following URLs to which only registered users will have access by means of a password and/or access code:  [www.enrononline.com] [www.</w:t>
            </w:r>
            <w:r>
              <w:rPr>
                <w:color w:val="000000"/>
                <w:lang w:eastAsia="en-US"/>
              </w:rPr>
              <w:t>enroncredit.com] [www.enrondirectfinance.com].</w:t>
            </w:r>
            <w:r>
              <w:rPr>
                <w:b/>
                <w:color w:val="FF0000"/>
              </w:rPr>
              <w:t xml:space="preserve">  </w:t>
            </w:r>
            <w:r>
              <w:rPr/>
              <w:t xml:space="preserve">Distributor may add up to ten (10) additional URLs to Distributor’s Internet Service belonging to Distributor or Distributor’s Affiliates (as defined in the Terms &amp; Conditions) provided that Distributor shall give Reuters prior written notice thereof, including the affiliate’s name and a description and URL of its site, and </w:t>
            </w:r>
            <w:r>
              <w:rPr>
                <w:u w:val="single"/>
              </w:rPr>
              <w:t>provided further</w:t>
            </w:r>
            <w:r>
              <w:rPr/>
              <w:t xml:space="preserve"> that Reuters can veto any such additional site on reasonable moral, ethical or competitive grounds within ten (10) business days of such written notice.</w:t>
            </w:r>
          </w:p>
        </w:tc>
      </w:tr>
    </w:tbl>
    <w:p>
      <w:pPr>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pP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7668"/>
        <w:gridCol w:w="1170"/>
        <w:gridCol w:w="1170"/>
      </w:tblGrid>
      <w:tr>
        <w:trPr>
          <w:trHeight w:val="665" w:hRule="atLeast"/>
        </w:trPr>
        <w:tc>
          <w:tcPr>
            <w:tcW w:w="10008"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b/>
              </w:rPr>
            </w:pPr>
            <w:r>
              <w:rPr>
                <w:b/>
              </w:rPr>
            </w:r>
          </w:p>
          <w:p>
            <w:pPr>
              <w:pStyle w:val="Header"/>
              <w:tabs>
                <w:tab w:val="clear" w:pos="4320"/>
                <w:tab w:val="clear" w:pos="8640"/>
              </w:tabs>
              <w:jc w:val="center"/>
              <w:rPr>
                <w:b/>
              </w:rPr>
            </w:pPr>
            <w:r>
              <w:rPr>
                <w:b/>
              </w:rPr>
              <w:t xml:space="preserve">DISTRIBUTOR SUBSCRIBES TO THE FOLLOWING SERVICES </w:t>
            </w:r>
            <w:r>
              <w:rPr/>
              <w:t>(“</w:t>
            </w:r>
            <w:r>
              <w:rPr>
                <w:b/>
              </w:rPr>
              <w:t>REUTERS SERVICES</w:t>
            </w:r>
            <w:r>
              <w:rPr/>
              <w:t>”)</w:t>
            </w:r>
          </w:p>
        </w:tc>
      </w:tr>
      <w:tr>
        <w:trPr>
          <w:trHeight w:val="60" w:hRule="atLeast"/>
        </w:trPr>
        <w:tc>
          <w:tcPr>
            <w:tcW w:w="7668" w:type="dxa"/>
            <w:tcBorders>
              <w:top w:val="single" w:sz="4" w:space="0" w:color="000000"/>
              <w:start w:val="single" w:sz="4" w:space="0" w:color="000000"/>
              <w:end w:val="single" w:sz="4" w:space="0" w:color="000000"/>
            </w:tcBorders>
          </w:tcPr>
          <w:p>
            <w:pPr>
              <w:pStyle w:val="Header"/>
              <w:tabs>
                <w:tab w:val="clear" w:pos="4320"/>
                <w:tab w:val="clear" w:pos="8640"/>
              </w:tabs>
              <w:snapToGrid w:val="false"/>
              <w:spacing w:before="120" w:after="0"/>
              <w:jc w:val="center"/>
              <w:rPr>
                <w:b/>
              </w:rPr>
            </w:pPr>
            <w:r>
              <w:rPr>
                <w:b/>
              </w:rPr>
            </w:r>
          </w:p>
        </w:tc>
        <w:tc>
          <w:tcPr>
            <w:tcW w:w="2340" w:type="dxa"/>
            <w:gridSpan w:val="2"/>
            <w:tcBorders>
              <w:top w:val="single" w:sz="4" w:space="0" w:color="000000"/>
              <w:start w:val="single" w:sz="4" w:space="0" w:color="000000"/>
              <w:end w:val="single" w:sz="4" w:space="0" w:color="000000"/>
            </w:tcBorders>
            <w:shd w:fill="CCCCCC" w:val="clear"/>
          </w:tcPr>
          <w:p>
            <w:pPr>
              <w:pStyle w:val="Header"/>
              <w:tabs>
                <w:tab w:val="clear" w:pos="4320"/>
                <w:tab w:val="clear" w:pos="8640"/>
              </w:tabs>
              <w:jc w:val="center"/>
              <w:rPr>
                <w:b/>
              </w:rPr>
            </w:pPr>
            <w:r>
              <w:rPr>
                <w:b/>
              </w:rPr>
              <w:t>BASE SERVICE FEE</w:t>
            </w:r>
          </w:p>
          <w:p>
            <w:pPr>
              <w:pStyle w:val="Header"/>
              <w:tabs>
                <w:tab w:val="clear" w:pos="4320"/>
                <w:tab w:val="clear" w:pos="8640"/>
              </w:tabs>
              <w:jc w:val="center"/>
              <w:rPr>
                <w:b/>
              </w:rPr>
            </w:pPr>
            <w:r>
              <w:rPr>
                <w:b/>
              </w:rPr>
              <w:t>(per month)</w:t>
            </w:r>
          </w:p>
        </w:tc>
      </w:tr>
      <w:tr>
        <w:trPr>
          <w:trHeight w:val="845" w:hRule="atLeast"/>
        </w:trPr>
        <w:tc>
          <w:tcPr>
            <w:tcW w:w="7668" w:type="dxa"/>
            <w:tcBorders>
              <w:top w:val="single" w:sz="4" w:space="0" w:color="000000"/>
              <w:start w:val="single" w:sz="4" w:space="0" w:color="000000"/>
              <w:bottom w:val="single" w:sz="4" w:space="0" w:color="000000"/>
              <w:end w:val="single" w:sz="4" w:space="0" w:color="000000"/>
            </w:tcBorders>
            <w:shd w:fill="CCCCCC" w:val="clear"/>
          </w:tcPr>
          <w:p>
            <w:pPr>
              <w:pStyle w:val="Header"/>
              <w:tabs>
                <w:tab w:val="clear" w:pos="4320"/>
                <w:tab w:val="clear" w:pos="8640"/>
              </w:tabs>
              <w:snapToGrid w:val="false"/>
              <w:spacing w:before="120" w:after="0"/>
              <w:jc w:val="center"/>
              <w:rPr>
                <w:b/>
              </w:rPr>
            </w:pPr>
            <w:r>
              <w:rPr>
                <w:b/>
              </w:rPr>
            </w:r>
          </w:p>
          <w:p>
            <w:pPr>
              <w:pStyle w:val="Header"/>
              <w:tabs>
                <w:tab w:val="clear" w:pos="4320"/>
                <w:tab w:val="clear" w:pos="8640"/>
              </w:tabs>
              <w:spacing w:before="120" w:after="0"/>
              <w:jc w:val="center"/>
              <w:rPr>
                <w:b/>
              </w:rPr>
            </w:pPr>
            <w:r>
              <w:rPr>
                <w:b/>
              </w:rPr>
              <w:t>REUTERS SERVICE</w:t>
            </w:r>
          </w:p>
        </w:tc>
        <w:tc>
          <w:tcPr>
            <w:tcW w:w="1170" w:type="dxa"/>
            <w:tcBorders>
              <w:top w:val="single" w:sz="4" w:space="0" w:color="000000"/>
              <w:start w:val="single" w:sz="4" w:space="0" w:color="000000"/>
              <w:bottom w:val="single" w:sz="4" w:space="0" w:color="000000"/>
              <w:end w:val="single" w:sz="4" w:space="0" w:color="000000"/>
            </w:tcBorders>
            <w:shd w:fill="CCCCCC" w:val="clear"/>
          </w:tcPr>
          <w:p>
            <w:pPr>
              <w:pStyle w:val="Header"/>
              <w:tabs>
                <w:tab w:val="clear" w:pos="4320"/>
                <w:tab w:val="clear" w:pos="8640"/>
              </w:tabs>
              <w:spacing w:before="120" w:after="0"/>
              <w:jc w:val="center"/>
              <w:rPr>
                <w:b/>
              </w:rPr>
            </w:pPr>
            <w:r>
              <w:rPr>
                <w:b/>
              </w:rPr>
              <w:t>Initial 12 months of the Term</w:t>
            </w:r>
          </w:p>
        </w:tc>
        <w:tc>
          <w:tcPr>
            <w:tcW w:w="1170" w:type="dxa"/>
            <w:tcBorders>
              <w:top w:val="single" w:sz="4" w:space="0" w:color="000000"/>
              <w:start w:val="single" w:sz="4" w:space="0" w:color="000000"/>
              <w:bottom w:val="single" w:sz="4" w:space="0" w:color="000000"/>
              <w:end w:val="single" w:sz="4" w:space="0" w:color="000000"/>
            </w:tcBorders>
            <w:shd w:fill="CCCCCC" w:val="clear"/>
          </w:tcPr>
          <w:p>
            <w:pPr>
              <w:pStyle w:val="Header"/>
              <w:tabs>
                <w:tab w:val="clear" w:pos="4320"/>
                <w:tab w:val="clear" w:pos="8640"/>
              </w:tabs>
              <w:spacing w:before="120" w:after="0"/>
              <w:jc w:val="center"/>
              <w:rPr>
                <w:b/>
              </w:rPr>
            </w:pPr>
            <w:r>
              <w:rPr>
                <w:b/>
              </w:rPr>
              <w:t>Each month thereafter</w:t>
            </w:r>
          </w:p>
        </w:tc>
      </w:tr>
      <w:tr>
        <w:trPr>
          <w:trHeight w:val="600" w:hRule="atLeast"/>
        </w:trPr>
        <w:tc>
          <w:tcPr>
            <w:tcW w:w="76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b/>
                <w:sz w:val="18"/>
              </w:rPr>
              <w:t>REUTERS MARKETS NEWS GALLERY</w:t>
            </w:r>
            <w:r>
              <w:rPr>
                <w:sz w:val="18"/>
              </w:rPr>
              <w:t>: A selection of news stories from the Reuters Markets News service.  This selection does not include any tradable, exclusive/premium or third party commentary stories (interviews, forecasts, research, pricing, etc.).</w:t>
            </w:r>
          </w:p>
          <w:p>
            <w:pPr>
              <w:pStyle w:val="Header"/>
              <w:tabs>
                <w:tab w:val="clear" w:pos="4320"/>
                <w:tab w:val="clear" w:pos="8640"/>
              </w:tabs>
              <w:jc w:val="both"/>
              <w:rPr/>
            </w:pPr>
            <w:r>
              <w:rPr>
                <w:b/>
                <w:sz w:val="18"/>
              </w:rPr>
              <w:t>REUTERS GLOBAL FOCUS NEWS GALLERY</w:t>
            </w:r>
            <w:r>
              <w:rPr>
                <w:sz w:val="18"/>
              </w:rPr>
              <w:t>: A selection of English and non-English language financial markets reports and diaries (including equities, money, fixed income, energy and commodities), currently available from 17 countries (Germany, Austria, France, Italy, UK, Belgium, Portugal, S. Africa, Switzerland, Sweden, Denmark, Norway, Baltics, Israel, Czech Republic, Turkey).  Reports from other countries will be added as they are added to the Reuters Domestic News Pool.. Note that not all countries produce reports for all market sectors</w:t>
            </w:r>
            <w:r>
              <w:rPr>
                <w:b/>
                <w:sz w:val="18"/>
              </w:rPr>
              <w:t>.</w:t>
            </w:r>
          </w:p>
          <w:p>
            <w:pPr>
              <w:pStyle w:val="Header"/>
              <w:tabs>
                <w:tab w:val="clear" w:pos="4320"/>
                <w:tab w:val="clear" w:pos="8640"/>
              </w:tabs>
              <w:jc w:val="both"/>
              <w:rPr/>
            </w:pPr>
            <w:r>
              <w:rPr>
                <w:b/>
                <w:sz w:val="18"/>
              </w:rPr>
              <w:t>REUTERS COMMODITIES NEWS GALLERY</w:t>
            </w:r>
            <w:r>
              <w:rPr>
                <w:sz w:val="18"/>
              </w:rPr>
              <w:t>: A selection of news stories from the Reuters Commodities News service.  This selection does not include any tradable, exclusive/premium or third party commentary stories (interviews, forecasts, research, pricing, etc.).</w:t>
            </w:r>
          </w:p>
          <w:p>
            <w:pPr>
              <w:pStyle w:val="Header"/>
              <w:tabs>
                <w:tab w:val="clear" w:pos="4320"/>
                <w:tab w:val="clear" w:pos="8640"/>
              </w:tabs>
              <w:jc w:val="both"/>
              <w:rPr/>
            </w:pPr>
            <w:r>
              <w:rPr>
                <w:b/>
                <w:sz w:val="18"/>
              </w:rPr>
              <w:t>REUTERS ENERGY NEWS GALLERY</w:t>
            </w:r>
            <w:r>
              <w:rPr>
                <w:sz w:val="18"/>
              </w:rPr>
              <w:t>: A selection of news stories from the Reuters Energy News service.  This selection does not include any tradable, exclusive/premium or third party commentary stories (interviews, forecasts, research, pricing, etc.).</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8"/>
              </w:rPr>
            </w:pPr>
            <w:r>
              <w:rPr>
                <w:sz w:val="18"/>
              </w:rPr>
              <w:t xml:space="preserve">$77,303 </w:t>
            </w:r>
          </w:p>
          <w:p>
            <w:pPr>
              <w:pStyle w:val="Header"/>
              <w:tabs>
                <w:tab w:val="clear" w:pos="4320"/>
                <w:tab w:val="clear" w:pos="8640"/>
              </w:tabs>
              <w:jc w:val="center"/>
              <w:rPr>
                <w:sz w:val="18"/>
              </w:rPr>
            </w:pPr>
            <w:r>
              <w:rPr>
                <w:sz w:val="18"/>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8"/>
              </w:rPr>
            </w:pPr>
            <w:r>
              <w:rPr>
                <w:sz w:val="18"/>
              </w:rPr>
              <w:t>$82,303</w:t>
            </w:r>
          </w:p>
        </w:tc>
      </w:tr>
      <w:tr>
        <w:trPr>
          <w:trHeight w:val="600" w:hRule="atLeast"/>
        </w:trPr>
        <w:tc>
          <w:tcPr>
            <w:tcW w:w="76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sz w:val="18"/>
              </w:rPr>
              <w:t xml:space="preserve">Two (2)  </w:t>
            </w:r>
            <w:r>
              <w:rPr>
                <w:b/>
                <w:sz w:val="18"/>
              </w:rPr>
              <w:t>REUTERS SELECTFEEDS – STORY BROADCAST</w:t>
            </w:r>
            <w:r>
              <w:rPr>
                <w:sz w:val="18"/>
              </w:rPr>
              <w:t xml:space="preserve"> v. 1.2</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8"/>
              </w:rPr>
            </w:pPr>
            <w:r>
              <w:rPr>
                <w:sz w:val="18"/>
              </w:rPr>
              <w:t>incl. in</w:t>
            </w:r>
          </w:p>
          <w:p>
            <w:pPr>
              <w:pStyle w:val="Header"/>
              <w:tabs>
                <w:tab w:val="clear" w:pos="4320"/>
                <w:tab w:val="clear" w:pos="8640"/>
              </w:tabs>
              <w:jc w:val="center"/>
              <w:rPr>
                <w:sz w:val="18"/>
              </w:rPr>
            </w:pPr>
            <w:r>
              <w:rPr>
                <w:sz w:val="18"/>
              </w:rPr>
              <w:t>Base S. Fee</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8"/>
              </w:rPr>
            </w:pPr>
            <w:r>
              <w:rPr>
                <w:sz w:val="18"/>
              </w:rPr>
              <w:t>incl. in</w:t>
            </w:r>
          </w:p>
          <w:p>
            <w:pPr>
              <w:pStyle w:val="Header"/>
              <w:tabs>
                <w:tab w:val="clear" w:pos="4320"/>
                <w:tab w:val="clear" w:pos="8640"/>
              </w:tabs>
              <w:jc w:val="center"/>
              <w:rPr>
                <w:sz w:val="18"/>
              </w:rPr>
            </w:pPr>
            <w:r>
              <w:rPr>
                <w:sz w:val="18"/>
              </w:rPr>
              <w:t>Base S. Fee</w:t>
            </w:r>
          </w:p>
        </w:tc>
      </w:tr>
      <w:tr>
        <w:trPr>
          <w:trHeight w:val="350" w:hRule="atLeast"/>
        </w:trPr>
        <w:tc>
          <w:tcPr>
            <w:tcW w:w="76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 xml:space="preserve">TOTAL MONTHLY SERVICE FEES </w:t>
            </w:r>
            <w:r>
              <w:rPr/>
              <w:t>(“</w:t>
            </w:r>
            <w:r>
              <w:rPr>
                <w:b/>
              </w:rPr>
              <w:t>SERVICE FEES</w:t>
            </w:r>
            <w:r>
              <w:rPr/>
              <w:t>”)</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$77,303</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$82,303</w:t>
            </w:r>
          </w:p>
        </w:tc>
      </w:tr>
    </w:tbl>
    <w:p>
      <w:pPr>
        <w:pStyle w:val="Normal"/>
        <w:rPr>
          <w:b/>
        </w:rPr>
      </w:pPr>
      <w:r>
        <w:br w:type="page"/>
      </w:r>
      <w:r>
        <w:rPr>
          <w:b/>
        </w:rPr>
      </w:r>
    </w:p>
    <w:tbl>
      <w:tblPr>
        <w:tblW w:w="10008" w:type="dxa"/>
        <w:jc w:val="start"/>
        <w:tblInd w:w="0" w:type="dxa"/>
        <w:tblLayout w:type="fixed"/>
        <w:tblCellMar>
          <w:top w:w="0" w:type="dxa"/>
          <w:start w:w="108" w:type="dxa"/>
          <w:bottom w:w="0" w:type="dxa"/>
          <w:end w:w="108" w:type="dxa"/>
        </w:tblCellMar>
      </w:tblPr>
      <w:tblGrid>
        <w:gridCol w:w="4518"/>
        <w:gridCol w:w="5490"/>
      </w:tblGrid>
      <w:tr>
        <w:trPr>
          <w:trHeight w:val="440" w:hRule="atLeast"/>
        </w:trPr>
        <w:tc>
          <w:tcPr>
            <w:tcW w:w="4518" w:type="dxa"/>
            <w:tcBorders>
              <w:top w:val="single" w:sz="4" w:space="0" w:color="000000"/>
              <w:start w:val="single" w:sz="4" w:space="0" w:color="000000"/>
              <w:bottom w:val="single" w:sz="4" w:space="0" w:color="000000"/>
              <w:end w:val="single" w:sz="4" w:space="0" w:color="000000"/>
            </w:tcBorders>
          </w:tcPr>
          <w:p>
            <w:pPr>
              <w:pStyle w:val="CommentText"/>
              <w:rPr>
                <w:b/>
              </w:rPr>
            </w:pPr>
            <w:r>
              <w:rPr>
                <w:b/>
              </w:rPr>
              <w:t>Date on which billing of the Base Service Fees will commence (if other than as agreed in Terms &amp; Conditions):</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pPr>
            <w:r>
              <w:fldChar w:fldCharType="begin">
                <w:ffData>
                  <w:name w:val="Text48"/>
                  <w:enabled/>
                  <w:calcOnExit w:val="0"/>
                  <w:textInput/>
                </w:ffData>
              </w:fldChar>
            </w:r>
            <w:r>
              <w:rPr>
                <w:lang w:val="en-CA"/>
              </w:rPr>
              <w:instrText xml:space="preserve"> FORMTEXT </w:instrText>
            </w:r>
            <w:r>
              <w:rPr>
                <w:lang w:val="en-CA"/>
              </w:rPr>
            </w:r>
            <w:r>
              <w:rPr>
                <w:lang w:val="en-CA"/>
              </w:rPr>
              <w:fldChar w:fldCharType="separate"/>
            </w:r>
            <w:r>
              <w:rPr>
                <w:lang w:val="en-CA"/>
              </w:rPr>
              <w:t>The earlier of (i) when the Reuters Content is accessible to users on Distributor's Internet Service or (ii) ninety (90) days after Reuters permissions Distributor to receive the Reuters Services.  </w:t>
            </w:r>
            <w:r/>
            <w:r>
              <w:rPr>
                <w:lang w:val="en-CA"/>
              </w:rPr>
              <w:fldChar w:fldCharType="end"/>
            </w:r>
            <w:r>
              <w:rPr>
                <w:lang w:val="en-CA"/>
              </w:rPr>
            </w:r>
          </w:p>
        </w:tc>
      </w:tr>
    </w:tbl>
    <w:p>
      <w:pPr>
        <w:sectPr>
          <w:type w:val="continuous"/>
          <w:pgSz w:w="12240" w:h="15840"/>
          <w:pgMar w:left="1440" w:right="1440" w:gutter="0" w:header="720" w:top="1440" w:footer="0" w:bottom="1440"/>
          <w:formProt w:val="false"/>
          <w:titlePg/>
          <w:textDirection w:val="lrTb"/>
          <w:docGrid w:type="default" w:linePitch="360" w:charSpace="0"/>
        </w:sectPr>
      </w:pP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10008"/>
      </w:tblGrid>
      <w:tr>
        <w:trPr>
          <w:trHeight w:val="500" w:hRule="atLeast"/>
        </w:trPr>
        <w:tc>
          <w:tcPr>
            <w:tcW w:w="10008" w:type="dxa"/>
            <w:tcBorders>
              <w:top w:val="single" w:sz="4" w:space="0" w:color="000000"/>
              <w:start w:val="single" w:sz="4" w:space="0" w:color="000000"/>
              <w:bottom w:val="single" w:sz="4" w:space="0" w:color="000000"/>
              <w:end w:val="single" w:sz="4" w:space="0" w:color="000000"/>
            </w:tcBorders>
          </w:tcPr>
          <w:p>
            <w:pPr>
              <w:pStyle w:val="Normal"/>
              <w:rPr/>
            </w:pPr>
            <w:r>
              <w:rPr>
                <w:b/>
              </w:rPr>
              <w:t>EQUIPMENT PROVIDED TO RECEIVE REUTERS SERVICES</w:t>
            </w:r>
            <w:r>
              <w:rPr/>
              <w:t xml:space="preserve"> (“</w:t>
            </w:r>
            <w:r>
              <w:rPr>
                <w:b/>
              </w:rPr>
              <w:t>Equipment</w:t>
            </w:r>
            <w:r>
              <w:rPr/>
              <w:t>”):</w:t>
            </w:r>
          </w:p>
          <w:p>
            <w:pPr>
              <w:pStyle w:val="Normal"/>
              <w:rPr/>
            </w:pPr>
            <w:r>
              <w:rPr/>
              <w:t>Two (2) Story Broadcast Servers (AMS boxes)</w:t>
            </w:r>
          </w:p>
          <w:p>
            <w:pPr>
              <w:pStyle w:val="Normal"/>
              <w:rPr>
                <w:b/>
              </w:rPr>
            </w:pPr>
            <w:r>
              <w:rPr>
                <w:b/>
              </w:rPr>
            </w:r>
          </w:p>
        </w:tc>
      </w:tr>
      <w:tr>
        <w:trPr/>
        <w:tc>
          <w:tcPr>
            <w:tcW w:w="10008" w:type="dxa"/>
            <w:tcBorders>
              <w:top w:val="single" w:sz="4" w:space="0" w:color="000000"/>
              <w:start w:val="single" w:sz="4" w:space="0" w:color="000000"/>
              <w:bottom w:val="single" w:sz="4" w:space="0" w:color="000000"/>
              <w:end w:val="single" w:sz="4" w:space="0" w:color="000000"/>
            </w:tcBorders>
          </w:tcPr>
          <w:p>
            <w:pPr>
              <w:pStyle w:val="Normal"/>
              <w:rPr/>
            </w:pPr>
            <w:r>
              <w:rPr>
                <w:b/>
              </w:rPr>
              <w:t>SOFTWARE PROVIDED TO RECEIVE REUTERS SERVICES</w:t>
            </w:r>
            <w:r>
              <w:rPr/>
              <w:t xml:space="preserve"> (“</w:t>
            </w:r>
            <w:r>
              <w:rPr>
                <w:b/>
              </w:rPr>
              <w:t>Software</w:t>
            </w:r>
            <w:r>
              <w:rPr/>
              <w:t>”):</w:t>
            </w:r>
          </w:p>
          <w:p>
            <w:pPr>
              <w:pStyle w:val="Normal"/>
              <w:rPr/>
            </w:pPr>
            <w:r>
              <w:rPr/>
              <w:t>None</w:t>
            </w:r>
          </w:p>
          <w:p>
            <w:pPr>
              <w:pStyle w:val="Normal"/>
              <w:rPr>
                <w:b/>
              </w:rPr>
            </w:pPr>
            <w:r>
              <w:rPr>
                <w:b/>
              </w:rPr>
            </w:r>
          </w:p>
        </w:tc>
      </w:tr>
    </w:tbl>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5328"/>
        <w:gridCol w:w="4680"/>
      </w:tblGrid>
      <w:tr>
        <w:trPr>
          <w:trHeight w:val="630" w:hRule="atLeast"/>
        </w:trPr>
        <w:tc>
          <w:tcPr>
            <w:tcW w:w="10008" w:type="dxa"/>
            <w:gridSpan w:val="2"/>
            <w:tcBorders>
              <w:top w:val="single" w:sz="4" w:space="0" w:color="000000"/>
              <w:start w:val="single" w:sz="4" w:space="0" w:color="000000"/>
              <w:end w:val="single" w:sz="4" w:space="0" w:color="000000"/>
            </w:tcBorders>
          </w:tcPr>
          <w:p>
            <w:pPr>
              <w:pStyle w:val="Heading1"/>
              <w:snapToGrid w:val="false"/>
              <w:ind w:hanging="0" w:start="0"/>
              <w:rPr>
                <w:sz w:val="20"/>
              </w:rPr>
            </w:pPr>
            <w:r>
              <w:rPr>
                <w:sz w:val="20"/>
              </w:rPr>
            </w:r>
          </w:p>
          <w:p>
            <w:pPr>
              <w:pStyle w:val="Heading1"/>
              <w:ind w:hanging="0" w:start="0"/>
              <w:rPr>
                <w:b w:val="false"/>
                <w:sz w:val="20"/>
                <w:u w:val="none"/>
              </w:rPr>
            </w:pPr>
            <w:r>
              <w:rPr>
                <w:sz w:val="20"/>
              </w:rPr>
              <w:t>ADDITIONAL FEES AND CHARGES</w:t>
            </w:r>
          </w:p>
          <w:p>
            <w:pPr>
              <w:pStyle w:val="Normal"/>
              <w:rPr>
                <w:b/>
                <w:sz w:val="20"/>
                <w:u w:val="none"/>
              </w:rPr>
            </w:pPr>
            <w:r>
              <w:rPr>
                <w:b/>
                <w:sz w:val="20"/>
                <w:u w:val="none"/>
              </w:rPr>
            </w:r>
          </w:p>
        </w:tc>
      </w:tr>
      <w:tr>
        <w:trPr/>
        <w:tc>
          <w:tcPr>
            <w:tcW w:w="5328" w:type="dxa"/>
            <w:tcBorders>
              <w:start w:val="single" w:sz="4" w:space="0" w:color="000000"/>
            </w:tcBorders>
          </w:tcPr>
          <w:p>
            <w:pPr>
              <w:pStyle w:val="Normal"/>
              <w:rPr>
                <w:b/>
              </w:rPr>
            </w:pPr>
            <w:r>
              <w:rPr>
                <w:b/>
              </w:rPr>
              <w:t>INSTALLATION CHARGE:</w:t>
            </w:r>
          </w:p>
        </w:tc>
        <w:tc>
          <w:tcPr>
            <w:tcW w:w="4680" w:type="dxa"/>
            <w:tcBorders>
              <w:end w:val="single" w:sz="4" w:space="0" w:color="000000"/>
            </w:tcBorders>
          </w:tcPr>
          <w:p>
            <w:pPr>
              <w:pStyle w:val="Normal"/>
              <w:ind w:start="-18" w:end="0"/>
              <w:rPr/>
            </w:pPr>
            <w:r>
              <w:rPr/>
              <w:t>N/A</w:t>
            </w:r>
          </w:p>
        </w:tc>
      </w:tr>
      <w:tr>
        <w:trPr/>
        <w:tc>
          <w:tcPr>
            <w:tcW w:w="5328" w:type="dxa"/>
            <w:tcBorders>
              <w:start w:val="single" w:sz="4" w:space="0" w:color="000000"/>
            </w:tcBorders>
          </w:tcPr>
          <w:p>
            <w:pPr>
              <w:pStyle w:val="Normal"/>
              <w:rPr>
                <w:b/>
              </w:rPr>
            </w:pPr>
            <w:r>
              <w:rPr>
                <w:b/>
              </w:rPr>
              <w:t>COMMUNICATIONS CHARGE (per month):</w:t>
            </w:r>
          </w:p>
        </w:tc>
        <w:tc>
          <w:tcPr>
            <w:tcW w:w="4680" w:type="dxa"/>
            <w:tcBorders>
              <w:end w:val="single" w:sz="4" w:space="0" w:color="000000"/>
            </w:tcBorders>
          </w:tcPr>
          <w:p>
            <w:pPr>
              <w:pStyle w:val="Normal"/>
              <w:ind w:start="-18" w:end="0"/>
              <w:rPr/>
            </w:pPr>
            <w:r>
              <w:rPr/>
              <w:t>None*</w:t>
            </w:r>
          </w:p>
        </w:tc>
      </w:tr>
      <w:tr>
        <w:trPr/>
        <w:tc>
          <w:tcPr>
            <w:tcW w:w="5328" w:type="dxa"/>
            <w:tcBorders>
              <w:start w:val="single" w:sz="4" w:space="0" w:color="000000"/>
            </w:tcBorders>
          </w:tcPr>
          <w:p>
            <w:pPr>
              <w:pStyle w:val="Normal"/>
              <w:rPr>
                <w:b/>
              </w:rPr>
            </w:pPr>
            <w:r>
              <w:rPr>
                <w:b/>
              </w:rPr>
              <w:t>SOFTWARE FEE (per month):</w:t>
            </w:r>
          </w:p>
        </w:tc>
        <w:tc>
          <w:tcPr>
            <w:tcW w:w="4680" w:type="dxa"/>
            <w:tcBorders>
              <w:end w:val="single" w:sz="4" w:space="0" w:color="000000"/>
            </w:tcBorders>
          </w:tcPr>
          <w:p>
            <w:pPr>
              <w:pStyle w:val="Normal"/>
              <w:ind w:start="-18" w:end="0"/>
              <w:rPr/>
            </w:pPr>
            <w:r>
              <w:rPr/>
              <w:t>N/A</w:t>
            </w:r>
          </w:p>
        </w:tc>
      </w:tr>
      <w:tr>
        <w:trPr/>
        <w:tc>
          <w:tcPr>
            <w:tcW w:w="10008" w:type="dxa"/>
            <w:gridSpan w:val="2"/>
            <w:tcBorders>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 xml:space="preserve">OTHER FEES:  </w:t>
              <w:tab/>
              <w:tab/>
              <w:t>Story Broadcast Delivery Feeds $1030/month</w:t>
            </w:r>
          </w:p>
          <w:p>
            <w:pPr>
              <w:pStyle w:val="Normal"/>
              <w:ind w:start="-18" w:end="0"/>
              <w:rPr>
                <w:b/>
              </w:rPr>
            </w:pPr>
            <w:r>
              <w:rPr>
                <w:b/>
              </w:rPr>
              <w:tab/>
              <w:tab/>
              <w:tab/>
            </w:r>
          </w:p>
          <w:p>
            <w:pPr>
              <w:pStyle w:val="Normal"/>
              <w:ind w:start="-18" w:end="0"/>
              <w:rPr>
                <w:b/>
              </w:rPr>
            </w:pPr>
            <w:r>
              <w:rPr>
                <w:b/>
              </w:rPr>
              <w:tab/>
              <w:tab/>
              <w:tab/>
              <w:tab/>
              <w:t>SEE ATTACHED FEE SCHEDULE (PER USER ROYALTY)</w:t>
            </w:r>
          </w:p>
          <w:p>
            <w:pPr>
              <w:pStyle w:val="Normal"/>
              <w:ind w:start="-18" w:end="0"/>
              <w:rPr>
                <w:b/>
              </w:rPr>
            </w:pPr>
            <w:r>
              <w:rPr>
                <w:b/>
              </w:rPr>
            </w:r>
          </w:p>
        </w:tc>
      </w:tr>
    </w:tbl>
    <w:p>
      <w:pPr>
        <w:pStyle w:val="Normal"/>
        <w:rPr>
          <w:b/>
        </w:rPr>
      </w:pPr>
      <w:r>
        <w:rPr>
          <w:b/>
        </w:rPr>
        <w:t>*</w:t>
      </w:r>
      <w:r>
        <w:rPr/>
        <w:t xml:space="preserve"> Enron will be using its existing satellite communications facilities.</w:t>
      </w:r>
    </w:p>
    <w:p>
      <w:pPr>
        <w:pStyle w:val="Normal"/>
        <w:rPr>
          <w:b/>
        </w:rPr>
      </w:pPr>
      <w:r>
        <w:rPr>
          <w:b/>
        </w:rPr>
      </w:r>
    </w:p>
    <w:p>
      <w:pPr>
        <w:pStyle w:val="Normal"/>
        <w:tabs>
          <w:tab w:val="clear" w:pos="720"/>
          <w:tab w:val="left" w:pos="6840" w:leader="none"/>
        </w:tabs>
        <w:jc w:val="both"/>
        <w:rPr/>
      </w:pPr>
      <w:r>
        <w:rPr>
          <w:b/>
        </w:rPr>
        <w:t>SECURITY DEPOSIT</w:t>
      </w:r>
      <w:r>
        <w:rPr/>
        <w:t>: - A security deposit  (“</w:t>
      </w:r>
      <w:r>
        <w:rPr>
          <w:b/>
        </w:rPr>
        <w:t>Security Deposit</w:t>
      </w:r>
      <w:r>
        <w:rPr/>
        <w:t xml:space="preserve">”) in the amount of </w:t>
      </w:r>
      <w:r>
        <w:fldChar w:fldCharType="begin">
          <w:ffData>
            <w:name w:val="Text29"/>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 $0 </w:t>
      </w:r>
      <w:r>
        <w:rPr>
          <w:u w:val="single"/>
          <w:lang w:val="en-CA"/>
        </w:rPr>
      </w:r>
      <w:r>
        <w:rPr>
          <w:u w:val="single"/>
          <w:lang w:val="en-CA"/>
        </w:rPr>
        <w:fldChar w:fldCharType="end"/>
      </w:r>
      <w:r>
        <w:rPr/>
        <w:t xml:space="preserve"> will be paid by the Distributor upon the execution hereof.  This Security Deposit may be used, applied or retained by Reuters, in whole or in part, to the extent required for the payment of any fees or charges payable hereunder as to which the Distributor is in default, or for any sum which Reuters may expend or may be required to expend by reason of the Distributor’s default hereunder.  The balance of the Security Deposit, if any, will be returned to the Distributor upon the termination of this Agreement after the return of the Equipment and Software, if any, to Reuters.</w:t>
      </w:r>
    </w:p>
    <w:p>
      <w:pPr>
        <w:pStyle w:val="Normal"/>
        <w:jc w:val="both"/>
        <w:rPr>
          <w:b/>
        </w:rPr>
      </w:pPr>
      <w:r>
        <w:rPr>
          <w:b/>
        </w:rPr>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BodyText2"/>
        <w:rPr/>
      </w:pPr>
      <w:r>
        <w:rPr>
          <w:b w:val="false"/>
          <w:sz w:val="20"/>
        </w:rPr>
        <w:t>By signing below, Distributor agrees to subscribe to the Reuters Services subject to all of the terms and conditions set forth on this Internet Services Agreement Order (“</w:t>
      </w:r>
      <w:r>
        <w:rPr>
          <w:sz w:val="20"/>
        </w:rPr>
        <w:t>Order Form</w:t>
      </w:r>
      <w:r>
        <w:rPr>
          <w:b w:val="false"/>
          <w:sz w:val="20"/>
        </w:rPr>
        <w:t>”), the attached Terms and Conditions (“</w:t>
      </w:r>
      <w:r>
        <w:rPr>
          <w:sz w:val="20"/>
        </w:rPr>
        <w:t>Terms &amp; Conditions</w:t>
      </w:r>
      <w:r>
        <w:rPr>
          <w:b w:val="false"/>
          <w:sz w:val="20"/>
        </w:rPr>
        <w:t>”), and all addenda, supplemental order forms and schedules thereto.  The Order Form and Terms &amp; Conditions, including all addenda, supplemental order forms and schedules thereto, shall hereinafter collectively be referred to as the “</w:t>
      </w:r>
      <w:r>
        <w:rPr>
          <w:sz w:val="20"/>
        </w:rPr>
        <w:t>Agreement</w:t>
      </w:r>
      <w:r>
        <w:rPr>
          <w:b w:val="false"/>
          <w:sz w:val="20"/>
        </w:rPr>
        <w:t>”, and shall together form the entire agreement between the parties regarding the subject matter hereof.</w:t>
      </w:r>
    </w:p>
    <w:p>
      <w:pPr>
        <w:pStyle w:val="Normal"/>
        <w:jc w:val="both"/>
        <w:rPr>
          <w:b/>
          <w:sz w:val="22"/>
        </w:rPr>
      </w:pPr>
      <w:r>
        <w:rPr>
          <w:b/>
          <w:sz w:val="22"/>
        </w:rPr>
      </w:r>
    </w:p>
    <w:p>
      <w:pPr>
        <w:pStyle w:val="Normal"/>
        <w:jc w:val="both"/>
        <w:rPr>
          <w:sz w:val="22"/>
        </w:rPr>
      </w:pPr>
      <w:r>
        <w:rPr>
          <w:sz w:val="22"/>
        </w:rPr>
      </w:r>
    </w:p>
    <w:p>
      <w:pPr>
        <w:pStyle w:val="Normal"/>
        <w:rPr/>
      </w:pPr>
      <w:r>
        <w:rPr>
          <w:b/>
          <w:sz w:val="22"/>
        </w:rPr>
        <w:t xml:space="preserve">REUTERS AMERICA INC. </w:t>
      </w:r>
      <w:r>
        <w:rPr>
          <w:sz w:val="22"/>
        </w:rPr>
        <w:t>(“</w:t>
      </w:r>
      <w:r>
        <w:rPr>
          <w:b/>
          <w:sz w:val="22"/>
        </w:rPr>
        <w:t>Reuters</w:t>
      </w:r>
      <w:r>
        <w:rPr>
          <w:sz w:val="22"/>
        </w:rPr>
        <w:t>”)</w:t>
      </w:r>
      <w:r>
        <w:rPr>
          <w:b/>
          <w:sz w:val="22"/>
        </w:rPr>
        <w:tab/>
        <w:tab/>
        <w:t>DISTRIBUTOR:  ENRON CORP.</w:t>
      </w:r>
    </w:p>
    <w:p>
      <w:pPr>
        <w:pStyle w:val="Normal"/>
        <w:rPr>
          <w:b/>
          <w:sz w:val="22"/>
        </w:rPr>
      </w:pPr>
      <w:r>
        <w:rPr>
          <w:b/>
          <w:sz w:val="22"/>
        </w:rPr>
      </w:r>
    </w:p>
    <w:p>
      <w:pPr>
        <w:pStyle w:val="Normal"/>
        <w:rPr>
          <w:sz w:val="22"/>
        </w:rPr>
      </w:pPr>
      <w:r>
        <w:rPr>
          <w:sz w:val="22"/>
        </w:rPr>
      </w:r>
    </w:p>
    <w:p>
      <w:pPr>
        <w:pStyle w:val="Normal"/>
        <w:rPr>
          <w:sz w:val="22"/>
        </w:rPr>
      </w:pPr>
      <w:r>
        <w:rPr>
          <w:sz w:val="22"/>
        </w:rPr>
        <w:t>By:</w:t>
        <w:tab/>
        <w:t>___________________________</w:t>
        <w:tab/>
        <w:tab/>
        <w:t>By:</w:t>
        <w:tab/>
        <w:t>___________________________</w:t>
      </w:r>
    </w:p>
    <w:p>
      <w:pPr>
        <w:pStyle w:val="Normal"/>
        <w:rPr>
          <w:sz w:val="22"/>
        </w:rPr>
      </w:pPr>
      <w:r>
        <w:rPr>
          <w:sz w:val="22"/>
        </w:rPr>
      </w:r>
    </w:p>
    <w:p>
      <w:pPr>
        <w:pStyle w:val="Normal"/>
        <w:rPr>
          <w:sz w:val="22"/>
        </w:rPr>
      </w:pPr>
      <w:r>
        <w:rPr>
          <w:sz w:val="22"/>
        </w:rPr>
        <w:t>Name:</w:t>
        <w:tab/>
        <w:t>___________________________</w:t>
        <w:tab/>
        <w:tab/>
        <w:t>Name:</w:t>
        <w:tab/>
        <w:t>___________________________</w:t>
      </w:r>
    </w:p>
    <w:p>
      <w:pPr>
        <w:pStyle w:val="Normal"/>
        <w:rPr>
          <w:sz w:val="22"/>
        </w:rPr>
      </w:pPr>
      <w:r>
        <w:rPr>
          <w:sz w:val="22"/>
        </w:rPr>
      </w:r>
    </w:p>
    <w:p>
      <w:pPr>
        <w:pStyle w:val="Normal"/>
        <w:rPr>
          <w:sz w:val="22"/>
        </w:rPr>
      </w:pPr>
      <w:r>
        <w:rPr>
          <w:sz w:val="22"/>
        </w:rPr>
        <w:t>Title:</w:t>
        <w:tab/>
        <w:t>___________________________</w:t>
        <w:tab/>
        <w:tab/>
        <w:t>Title:</w:t>
        <w:tab/>
        <w:t>___________________________</w:t>
      </w:r>
    </w:p>
    <w:p>
      <w:pPr>
        <w:pStyle w:val="Normal"/>
        <w:rPr>
          <w:sz w:val="22"/>
        </w:rPr>
      </w:pPr>
      <w:r>
        <w:rPr>
          <w:sz w:val="22"/>
        </w:rPr>
      </w:r>
    </w:p>
    <w:p>
      <w:pPr>
        <w:pStyle w:val="Normal"/>
        <w:rPr/>
      </w:pPr>
      <w:r>
        <w:rPr>
          <w:sz w:val="22"/>
        </w:rPr>
        <w:t>Date:</w:t>
        <w:tab/>
        <w:t>___________________________</w:t>
        <w:tab/>
        <w:tab/>
        <w:t>Date:</w:t>
        <w:tab/>
      </w:r>
      <w:r>
        <w:rPr>
          <w:sz w:val="22"/>
          <w:u w:val="single"/>
        </w:rPr>
        <w:t xml:space="preserve">     April 25, 2000  </w:t>
        <w:tab/>
        <w:tab/>
      </w:r>
    </w:p>
    <w:p>
      <w:pPr>
        <w:pStyle w:val="Normal"/>
        <w:rPr/>
      </w:pPr>
      <w:r>
        <w:rPr>
          <w:sz w:val="22"/>
        </w:rPr>
        <w:tab/>
        <w:tab/>
        <w:tab/>
        <w:tab/>
        <w:tab/>
        <w:tab/>
        <w:tab/>
        <w:tab/>
        <w:t>(“</w:t>
      </w:r>
      <w:r>
        <w:rPr>
          <w:b/>
          <w:sz w:val="22"/>
        </w:rPr>
        <w:t>Effective Date</w:t>
      </w:r>
      <w:r>
        <w:rPr/>
        <w:t>”)</w:t>
      </w:r>
    </w:p>
    <w:p>
      <w:pPr>
        <w:sectPr>
          <w:type w:val="continuous"/>
          <w:pgSz w:w="12240" w:h="15840"/>
          <w:pgMar w:left="1440" w:right="1440" w:gutter="0" w:header="720" w:top="1440" w:footer="0" w:bottom="1440"/>
          <w:formProt w:val="false"/>
          <w:titlePg/>
          <w:textDirection w:val="lrTb"/>
          <w:docGrid w:type="default" w:linePitch="360" w:charSpace="0"/>
        </w:sectPr>
      </w:pPr>
    </w:p>
    <w:p>
      <w:pPr>
        <w:sectPr>
          <w:headerReference w:type="default" r:id="rId4"/>
          <w:type w:val="nextPage"/>
          <w:pgSz w:w="12240" w:h="15840"/>
          <w:pgMar w:left="1260" w:right="1260" w:gutter="0" w:header="720" w:top="1440" w:footer="0" w:bottom="1440"/>
          <w:pgNumType w:fmt="decimal"/>
          <w:cols w:num="2" w:space="180" w:equalWidth="true" w:sep="false"/>
          <w:formProt w:val="false"/>
          <w:textDirection w:val="lrTb"/>
          <w:docGrid w:type="default" w:linePitch="360" w:charSpace="0"/>
        </w:sectPr>
      </w:pPr>
    </w:p>
    <w:tbl>
      <w:tblPr>
        <w:tblW w:w="3348" w:type="dxa"/>
        <w:jc w:val="start"/>
        <w:tblInd w:w="0" w:type="dxa"/>
        <w:tblLayout w:type="fixed"/>
        <w:tblCellMar>
          <w:top w:w="0" w:type="dxa"/>
          <w:start w:w="108" w:type="dxa"/>
          <w:bottom w:w="0" w:type="dxa"/>
          <w:end w:w="108" w:type="dxa"/>
        </w:tblCellMar>
      </w:tblPr>
      <w:tblGrid>
        <w:gridCol w:w="1368"/>
        <w:gridCol w:w="1980"/>
      </w:tblGrid>
      <w:tr>
        <w:trPr/>
        <w:tc>
          <w:tcPr>
            <w:tcW w:w="1368" w:type="dxa"/>
            <w:tcBorders/>
          </w:tcPr>
          <w:p>
            <w:pPr>
              <w:pStyle w:val="Normal"/>
              <w:rPr>
                <w:rFonts w:ascii="Univers" w:hAnsi="Univers" w:cs="Univers"/>
                <w:b/>
                <w:sz w:val="18"/>
              </w:rPr>
            </w:pPr>
            <w:r>
              <w:rPr>
                <w:rFonts w:cs="Univers" w:ascii="Univers" w:hAnsi="Univers"/>
                <w:b/>
                <w:sz w:val="18"/>
              </w:rPr>
              <w:t>Contract No.</w:t>
            </w:r>
          </w:p>
        </w:tc>
        <w:tc>
          <w:tcPr>
            <w:tcW w:w="1980" w:type="dxa"/>
            <w:tcBorders/>
          </w:tcPr>
          <w:p>
            <w:pPr>
              <w:pStyle w:val="Normal"/>
              <w:rPr>
                <w:rFonts w:ascii="Univers" w:hAnsi="Univers" w:cs="Univers"/>
                <w:b/>
                <w:sz w:val="18"/>
              </w:rPr>
            </w:pPr>
            <w:r>
              <w:fldChar w:fldCharType="begin">
                <w:ffData>
                  <w:name w:val="Text1"/>
                  <w:enabled/>
                  <w:calcOnExit w:val="0"/>
                  <w:textInput/>
                </w:ffData>
              </w:fldChar>
            </w:r>
            <w:r>
              <w:rPr>
                <w:sz w:val="18"/>
                <w:b/>
                <w:rFonts w:cs="Univers" w:ascii="Univers" w:hAnsi="Univers"/>
                <w:lang w:val="en-CA"/>
              </w:rPr>
              <w:instrText xml:space="preserve"> FORMTEXT </w:instrText>
            </w:r>
            <w:r>
              <w:rPr>
                <w:rFonts w:cs="Univers" w:ascii="Univers" w:hAnsi="Univers"/>
                <w:b/>
                <w:sz w:val="18"/>
                <w:lang w:val="en-CA"/>
              </w:rPr>
            </w:r>
            <w:r>
              <w:rPr>
                <w:sz w:val="18"/>
                <w:b/>
                <w:rFonts w:cs="Univers" w:ascii="Univers" w:hAnsi="Univers"/>
                <w:lang w:val="en-CA"/>
              </w:rPr>
              <w:fldChar w:fldCharType="separate"/>
            </w:r>
            <w:r>
              <w:rPr>
                <w:rFonts w:cs="Univers" w:ascii="Univers" w:hAnsi="Univers"/>
                <w:b/>
                <w:sz w:val="18"/>
                <w:lang w:val="en-CA"/>
              </w:rPr>
              <w:t>     </w:t>
            </w:r>
            <w:r/>
            <w:r>
              <w:rPr>
                <w:sz w:val="18"/>
                <w:b/>
                <w:rFonts w:cs="Univers" w:ascii="Univers" w:hAnsi="Univers"/>
                <w:lang w:val="en-CA"/>
              </w:rPr>
              <w:fldChar w:fldCharType="end"/>
            </w:r>
            <w:r>
              <w:rPr>
                <w:rFonts w:cs="Univers" w:ascii="Univers" w:hAnsi="Univers"/>
                <w:b/>
                <w:sz w:val="18"/>
                <w:lang w:val="en-CA"/>
              </w:rPr>
            </w:r>
          </w:p>
        </w:tc>
      </w:tr>
      <w:tr>
        <w:trPr/>
        <w:tc>
          <w:tcPr>
            <w:tcW w:w="1368" w:type="dxa"/>
            <w:tcBorders/>
          </w:tcPr>
          <w:p>
            <w:pPr>
              <w:pStyle w:val="Normal"/>
              <w:rPr>
                <w:rFonts w:ascii="Univers" w:hAnsi="Univers" w:cs="Univers"/>
                <w:b/>
                <w:sz w:val="18"/>
              </w:rPr>
            </w:pPr>
            <w:r>
              <w:rPr>
                <w:rFonts w:cs="Univers" w:ascii="Univers" w:hAnsi="Univers"/>
                <w:b/>
                <w:sz w:val="18"/>
              </w:rPr>
              <w:t>Distributor</w:t>
            </w:r>
          </w:p>
        </w:tc>
        <w:tc>
          <w:tcPr>
            <w:tcW w:w="1980" w:type="dxa"/>
            <w:tcBorders>
              <w:top w:val="single" w:sz="6" w:space="0" w:color="000000"/>
              <w:bottom w:val="single" w:sz="6" w:space="0" w:color="000000"/>
            </w:tcBorders>
          </w:tcPr>
          <w:p>
            <w:pPr>
              <w:pStyle w:val="Normal"/>
              <w:rPr>
                <w:rFonts w:ascii="Univers" w:hAnsi="Univers" w:cs="Univers"/>
                <w:b/>
                <w:sz w:val="18"/>
              </w:rPr>
            </w:pPr>
            <w:r>
              <w:rPr>
                <w:rFonts w:cs="Univers" w:ascii="Univers" w:hAnsi="Univers"/>
                <w:b/>
                <w:sz w:val="18"/>
              </w:rPr>
              <w:t>Enron Corporation</w:t>
            </w:r>
          </w:p>
        </w:tc>
      </w:tr>
    </w:tbl>
    <w:p>
      <w:pPr>
        <w:pStyle w:val="Normal"/>
        <w:rPr>
          <w:rFonts w:ascii="Univers" w:hAnsi="Univers" w:cs="Univers"/>
          <w:b/>
          <w:sz w:val="18"/>
        </w:rPr>
      </w:pPr>
      <w:r>
        <w:rPr>
          <w:rFonts w:cs="Univers" w:ascii="Univers" w:hAnsi="Univers"/>
          <w:b/>
          <w:sz w:val="18"/>
        </w:rPr>
      </w:r>
    </w:p>
    <w:p>
      <w:pPr>
        <w:pStyle w:val="Normal"/>
        <w:rPr>
          <w:rFonts w:ascii="Univers" w:hAnsi="Univers" w:cs="Univers"/>
          <w:b/>
          <w:sz w:val="18"/>
        </w:rPr>
      </w:pPr>
      <w:r>
        <w:rPr>
          <w:rFonts w:cs="Univers" w:ascii="Univers" w:hAnsi="Univers"/>
          <w:b/>
          <w:sz w:val="18"/>
        </w:rPr>
        <w:tab/>
      </w:r>
    </w:p>
    <w:p>
      <w:pPr>
        <w:pStyle w:val="Normal"/>
        <w:ind w:firstLine="720" w:end="0"/>
        <w:rPr>
          <w:rFonts w:ascii="Univers" w:hAnsi="Univers" w:cs="Univers"/>
          <w:b/>
          <w:sz w:val="18"/>
        </w:rPr>
      </w:pPr>
      <w:r>
        <w:rPr>
          <w:rFonts w:cs="Univers" w:ascii="Univers" w:hAnsi="Univers"/>
          <w:b/>
          <w:sz w:val="18"/>
        </w:rPr>
        <w:t>REUTERS AMERICA INC.</w:t>
        <w:tab/>
      </w:r>
    </w:p>
    <w:p>
      <w:pPr>
        <w:pStyle w:val="Normal"/>
        <w:ind w:firstLine="720" w:end="0"/>
        <w:rPr>
          <w:rFonts w:ascii="Univers" w:hAnsi="Univers" w:cs="Univers"/>
          <w:b/>
          <w:sz w:val="18"/>
        </w:rPr>
      </w:pPr>
      <w:r>
        <w:rPr>
          <w:rFonts w:cs="Univers" w:ascii="Univers" w:hAnsi="Univers"/>
          <w:b/>
          <w:sz w:val="18"/>
        </w:rPr>
        <w:t>INTERNET SERVICES AGREEMENT</w:t>
      </w:r>
    </w:p>
    <w:p>
      <w:pPr>
        <w:pStyle w:val="Normal"/>
        <w:ind w:firstLine="720" w:end="0"/>
        <w:rPr>
          <w:rFonts w:ascii="Univers" w:hAnsi="Univers" w:cs="Univers"/>
          <w:b/>
          <w:sz w:val="18"/>
        </w:rPr>
      </w:pPr>
      <w:r>
        <w:rPr>
          <w:rFonts w:cs="Univers" w:ascii="Univers" w:hAnsi="Univers"/>
          <w:b/>
          <w:sz w:val="18"/>
        </w:rPr>
        <w:t>FEE SCHEDULE (PER USER ROYALTY)</w:t>
      </w:r>
    </w:p>
    <w:p>
      <w:pPr>
        <w:sectPr>
          <w:type w:val="continuous"/>
          <w:pgSz w:w="12240" w:h="15840"/>
          <w:pgMar w:left="1260" w:right="1260" w:gutter="0" w:header="720" w:top="1440" w:footer="0" w:bottom="1440"/>
          <w:cols w:num="2" w:space="180" w:equalWidth="true" w:sep="false"/>
          <w:formProt w:val="false"/>
          <w:textDirection w:val="lrTb"/>
          <w:docGrid w:type="default" w:linePitch="360" w:charSpace="0"/>
        </w:sectPr>
      </w:pPr>
    </w:p>
    <w:p>
      <w:pPr>
        <w:pStyle w:val="Normal"/>
        <w:rPr>
          <w:rFonts w:ascii="Univers" w:hAnsi="Univers" w:cs="Univers"/>
          <w:b/>
          <w:sz w:val="18"/>
        </w:rPr>
      </w:pPr>
      <w:r>
        <w:rPr>
          <w:rFonts w:cs="Univers" w:ascii="Univers" w:hAnsi="Univers"/>
          <w:b/>
          <w:sz w:val="18"/>
        </w:rPr>
      </w:r>
    </w:p>
    <w:p>
      <w:pPr>
        <w:pStyle w:val="Normal"/>
        <w:ind w:start="-180" w:end="-180"/>
        <w:jc w:val="both"/>
        <w:rPr>
          <w:rFonts w:ascii="Univers" w:hAnsi="Univers" w:cs="Univers"/>
          <w:sz w:val="18"/>
        </w:rPr>
      </w:pPr>
      <w:r>
        <w:rPr>
          <w:rFonts w:cs="Univers" w:ascii="Univers" w:hAnsi="Univers"/>
          <w:sz w:val="18"/>
        </w:rPr>
        <w:t>All capitalized terms not defined herein shall have the meanings set forth in the Order Form and the Terms &amp; Conditions.</w:t>
      </w:r>
    </w:p>
    <w:p>
      <w:pPr>
        <w:pStyle w:val="Normal"/>
        <w:ind w:start="-180" w:end="-180"/>
        <w:jc w:val="both"/>
        <w:rPr>
          <w:rFonts w:ascii="Univers" w:hAnsi="Univers" w:cs="Univers"/>
          <w:sz w:val="18"/>
        </w:rPr>
      </w:pPr>
      <w:r>
        <w:rPr>
          <w:rFonts w:cs="Univers" w:ascii="Univers" w:hAnsi="Univers"/>
          <w:sz w:val="18"/>
        </w:rPr>
        <w:tab/>
        <w:tab/>
        <w:tab/>
        <w:tab/>
        <w:tab/>
        <w:tab/>
        <w:tab/>
      </w:r>
    </w:p>
    <w:p>
      <w:pPr>
        <w:pStyle w:val="Normal"/>
        <w:ind w:start="-180" w:end="-180"/>
        <w:jc w:val="both"/>
        <w:rPr/>
      </w:pPr>
      <w:r>
        <w:rPr>
          <w:rFonts w:cs="Univers" w:ascii="Univers" w:hAnsi="Univers"/>
          <w:b/>
          <w:sz w:val="18"/>
        </w:rPr>
        <w:t xml:space="preserve">1. </w:t>
      </w:r>
      <w:r>
        <w:rPr>
          <w:rFonts w:cs="Univers" w:ascii="Univers" w:hAnsi="Univers"/>
          <w:b/>
          <w:sz w:val="18"/>
          <w:u w:val="single"/>
        </w:rPr>
        <w:t>Monthly Reuters Royalty</w:t>
      </w:r>
      <w:r>
        <w:rPr>
          <w:rFonts w:cs="Univers" w:ascii="Univers" w:hAnsi="Univers"/>
          <w:b/>
          <w:sz w:val="18"/>
        </w:rPr>
        <w:t>.</w:t>
      </w:r>
      <w:r>
        <w:rPr>
          <w:rFonts w:cs="Univers" w:ascii="Univers" w:hAnsi="Univers"/>
          <w:sz w:val="18"/>
        </w:rPr>
        <w:t xml:space="preserve">  In addition to the Base Service Fees, each month Distributor shall pay to Reuters a monthly royalty based on the number of Users for such month and the number of days such Users accesses the Distributor’s Internet Service (the “</w:t>
      </w:r>
      <w:r>
        <w:rPr>
          <w:rFonts w:cs="Univers" w:ascii="Univers" w:hAnsi="Univers"/>
          <w:b/>
          <w:sz w:val="18"/>
        </w:rPr>
        <w:t>Reuters Royalty</w:t>
      </w:r>
      <w:r>
        <w:rPr>
          <w:rFonts w:cs="Univers" w:ascii="Univers" w:hAnsi="Univers"/>
          <w:sz w:val="18"/>
        </w:rPr>
        <w:t>”).  The Reuters Royalty shall be calculated as follows:</w:t>
      </w:r>
    </w:p>
    <w:p>
      <w:pPr>
        <w:pStyle w:val="Normal"/>
        <w:ind w:start="-180" w:end="-180"/>
        <w:jc w:val="both"/>
        <w:rPr>
          <w:rFonts w:ascii="Univers" w:hAnsi="Univers" w:cs="Univers"/>
          <w:sz w:val="18"/>
        </w:rPr>
      </w:pPr>
      <w:r>
        <w:rPr>
          <w:rFonts w:cs="Univers" w:ascii="Univers" w:hAnsi="Univers"/>
          <w:sz w:val="18"/>
        </w:rPr>
      </w:r>
    </w:p>
    <w:p>
      <w:pPr>
        <w:pStyle w:val="Normal"/>
        <w:ind w:start="-180" w:end="-180"/>
        <w:jc w:val="both"/>
        <w:rPr>
          <w:rFonts w:ascii="Univers" w:hAnsi="Univers" w:cs="Univers"/>
          <w:b/>
          <w:color w:val="FF0000"/>
          <w:sz w:val="18"/>
        </w:rPr>
      </w:pPr>
      <w:r>
        <w:rPr>
          <w:rFonts w:cs="Univers" w:ascii="Univers" w:hAnsi="Univers"/>
          <w:color w:val="FF0000"/>
          <w:sz w:val="18"/>
        </w:rPr>
        <w:t xml:space="preserve">$1.00 per User per Daily Access </w:t>
        <w:tab/>
      </w:r>
    </w:p>
    <w:p>
      <w:pPr>
        <w:sectPr>
          <w:type w:val="continuous"/>
          <w:pgSz w:w="12240" w:h="15840"/>
          <w:pgMar w:left="1260" w:right="1260" w:gutter="0" w:header="720" w:top="1440" w:footer="0" w:bottom="1440"/>
          <w:formProt w:val="false"/>
          <w:textDirection w:val="lrTb"/>
          <w:docGrid w:type="default" w:linePitch="360" w:charSpace="0"/>
        </w:sectPr>
      </w:pPr>
    </w:p>
    <w:p>
      <w:pPr>
        <w:pStyle w:val="Normal"/>
        <w:ind w:start="-180" w:end="-180"/>
        <w:jc w:val="both"/>
        <w:rPr>
          <w:rFonts w:ascii="Univers" w:hAnsi="Univers" w:cs="Univers"/>
          <w:b/>
          <w:color w:val="FF0000"/>
          <w:sz w:val="18"/>
        </w:rPr>
      </w:pPr>
      <w:r>
        <w:rPr>
          <w:rFonts w:cs="Univers" w:ascii="Univers" w:hAnsi="Univers"/>
          <w:b/>
          <w:color w:val="FF0000"/>
          <w:sz w:val="18"/>
        </w:rPr>
      </w:r>
    </w:p>
    <w:p>
      <w:pPr>
        <w:pStyle w:val="Normal"/>
        <w:ind w:start="-180" w:end="-180"/>
        <w:jc w:val="both"/>
        <w:rPr/>
      </w:pPr>
      <w:r>
        <w:rPr>
          <w:rFonts w:cs="Univers" w:ascii="Univers" w:hAnsi="Univers"/>
          <w:b/>
          <w:sz w:val="18"/>
        </w:rPr>
        <w:t>“</w:t>
      </w:r>
      <w:r>
        <w:rPr>
          <w:rFonts w:cs="Univers" w:ascii="Univers" w:hAnsi="Univers"/>
          <w:b/>
          <w:sz w:val="18"/>
        </w:rPr>
        <w:t>User”</w:t>
      </w:r>
      <w:r>
        <w:rPr>
          <w:rFonts w:cs="Univers" w:ascii="Univers" w:hAnsi="Univers"/>
          <w:sz w:val="18"/>
        </w:rPr>
        <w:t xml:space="preserve"> means an individual who accesses any Reuters Content (including any manipulated and modified Reuters Content) via the Distributor’s Internet Service. </w:t>
      </w:r>
    </w:p>
    <w:p>
      <w:pPr>
        <w:pStyle w:val="Normal"/>
        <w:ind w:start="-180" w:end="-180"/>
        <w:jc w:val="both"/>
        <w:rPr/>
      </w:pPr>
      <w:r>
        <w:rPr>
          <w:rFonts w:cs="Univers" w:ascii="Univers" w:hAnsi="Univers"/>
          <w:sz w:val="18"/>
        </w:rPr>
        <w:t>“</w:t>
      </w:r>
      <w:r>
        <w:rPr>
          <w:rFonts w:cs="Univers" w:ascii="Univers" w:hAnsi="Univers"/>
          <w:b/>
          <w:sz w:val="18"/>
        </w:rPr>
        <w:t>Daily Access</w:t>
      </w:r>
      <w:r>
        <w:rPr>
          <w:rFonts w:cs="Univers" w:ascii="Univers" w:hAnsi="Univers"/>
          <w:sz w:val="18"/>
        </w:rPr>
        <w:t xml:space="preserve">” means a calendar day during which a User has accessed the Reuters Content (or any portion thereof including any manipulated and modified Reuters Content) via the Distributor’s Internet Service at least once. </w:t>
      </w:r>
    </w:p>
    <w:p>
      <w:pPr>
        <w:pStyle w:val="Normal"/>
        <w:ind w:start="-180" w:end="-180"/>
        <w:jc w:val="both"/>
        <w:rPr>
          <w:rFonts w:ascii="Univers" w:hAnsi="Univers" w:cs="Univers"/>
          <w:sz w:val="18"/>
        </w:rPr>
      </w:pPr>
      <w:r>
        <w:rPr>
          <w:rFonts w:cs="Univers" w:ascii="Univers" w:hAnsi="Univers"/>
          <w:sz w:val="18"/>
        </w:rPr>
      </w:r>
    </w:p>
    <w:p>
      <w:pPr>
        <w:pStyle w:val="Normal"/>
        <w:ind w:start="-180" w:end="-180"/>
        <w:rPr>
          <w:rFonts w:ascii="Univers" w:hAnsi="Univers" w:cs="Univers"/>
          <w:sz w:val="18"/>
        </w:rPr>
      </w:pPr>
      <w:r>
        <w:rPr>
          <w:rFonts w:cs="Univers" w:ascii="Univers" w:hAnsi="Univers"/>
          <w:sz w:val="18"/>
        </w:rPr>
        <w:t>Example:  If a User accesses the Distributor’s Internet Service during 10 days of a calendar month (regardless of how many times the User accesses the Reuters Content on any one of those 10 days), the number of Daily Accesses for the month for such User is 10 and the monthly Reuters Royalty for such User is $10.</w:t>
      </w:r>
    </w:p>
    <w:p>
      <w:pPr>
        <w:pStyle w:val="Normal"/>
        <w:ind w:start="-180" w:end="-180"/>
        <w:rPr>
          <w:sz w:val="18"/>
        </w:rPr>
      </w:pPr>
      <w:r>
        <w:rPr>
          <w:rFonts w:eastAsia="Univers" w:cs="Univers" w:ascii="Univers" w:hAnsi="Univers"/>
          <w:sz w:val="18"/>
        </w:rPr>
        <w:t xml:space="preserve"> </w:t>
      </w:r>
    </w:p>
    <w:p>
      <w:pPr>
        <w:pStyle w:val="BodyText3"/>
        <w:ind w:start="-180" w:end="-180"/>
        <w:rPr>
          <w:b w:val="false"/>
          <w:color w:val="FF0000"/>
          <w:sz w:val="18"/>
        </w:rPr>
      </w:pPr>
      <w:r>
        <w:rPr>
          <w:color w:val="FF0000"/>
          <w:sz w:val="18"/>
        </w:rPr>
        <w:t xml:space="preserve">THE PARTIES ACKNOWLEDGE AND AGREE THAT DURING THE INITIAL 12 MONTHS OF THE INITIAL TERM (i.e., THE 12 MONTHS FOLLOWING THE INITIAL BILLING DATE), THE REUTERS ROYALTY WILL BE WAIVED.  THEREAFTER, THE REUTERS ROYALTY WILL BE WAIVED FOR THE FIRST 90,000 DAILY ACCESSES PER MONTH. </w:t>
      </w:r>
    </w:p>
    <w:p>
      <w:pPr>
        <w:pStyle w:val="Normal"/>
        <w:ind w:hanging="360" w:start="-180" w:end="-180"/>
        <w:jc w:val="both"/>
        <w:rPr>
          <w:rFonts w:ascii="Univers" w:hAnsi="Univers" w:cs="Univers"/>
          <w:b/>
          <w:color w:val="FF0000"/>
          <w:sz w:val="18"/>
        </w:rPr>
      </w:pPr>
      <w:r>
        <w:rPr>
          <w:rFonts w:cs="Univers" w:ascii="Univers" w:hAnsi="Univers"/>
          <w:b/>
          <w:color w:val="FF0000"/>
          <w:sz w:val="18"/>
        </w:rPr>
      </w:r>
    </w:p>
    <w:p>
      <w:pPr>
        <w:pStyle w:val="Normal"/>
        <w:ind w:start="-180" w:end="-180"/>
        <w:jc w:val="both"/>
        <w:rPr/>
      </w:pPr>
      <w:r>
        <w:rPr>
          <w:rFonts w:cs="Univers" w:ascii="Univers" w:hAnsi="Univers"/>
          <w:b/>
          <w:sz w:val="18"/>
        </w:rPr>
        <w:t xml:space="preserve">2. </w:t>
      </w:r>
      <w:r>
        <w:rPr>
          <w:rFonts w:cs="Univers" w:ascii="Univers" w:hAnsi="Univers"/>
          <w:b/>
          <w:sz w:val="18"/>
          <w:u w:val="single"/>
        </w:rPr>
        <w:t>Reporting</w:t>
      </w:r>
      <w:r>
        <w:rPr>
          <w:rFonts w:cs="Univers" w:ascii="Univers" w:hAnsi="Univers"/>
          <w:b/>
          <w:sz w:val="18"/>
        </w:rPr>
        <w:t xml:space="preserve">. </w:t>
      </w:r>
      <w:r>
        <w:rPr>
          <w:rFonts w:cs="Univers" w:ascii="Univers" w:hAnsi="Univers"/>
          <w:sz w:val="18"/>
        </w:rPr>
        <w:t xml:space="preserve">Distributor shall keep such books and records as are necessary to verify the amounts owed to Reuters under this Agreement.  Distributor will provide with each payment of the Reuters Royalty a report, signed by an authorized representative of Distributor, setting forth the manner in which the Reuters Royalty was calculated </w:t>
      </w:r>
      <w:r>
        <w:rPr>
          <w:rFonts w:cs="Univers" w:ascii="Univers" w:hAnsi="Univers"/>
          <w:b/>
          <w:sz w:val="18"/>
        </w:rPr>
        <w:t>(“Monthly Reuters Royalty Report</w:t>
      </w:r>
      <w:r>
        <w:rPr>
          <w:rFonts w:cs="Univers" w:ascii="Univers" w:hAnsi="Univers"/>
          <w:sz w:val="18"/>
        </w:rPr>
        <w:t xml:space="preserve">”).  Distributor shall send the Monthly Reuters Royalty Report to Reuters </w:t>
      </w:r>
      <w:r>
        <w:rPr>
          <w:rFonts w:cs="Arial" w:ascii="Arial" w:hAnsi="Arial"/>
          <w:sz w:val="18"/>
        </w:rPr>
        <w:t>within ten (10) days after the 1</w:t>
      </w:r>
      <w:r>
        <w:rPr>
          <w:rFonts w:cs="Arial" w:ascii="Arial" w:hAnsi="Arial"/>
          <w:sz w:val="18"/>
          <w:vertAlign w:val="superscript"/>
        </w:rPr>
        <w:t>st</w:t>
      </w:r>
      <w:r>
        <w:rPr>
          <w:rFonts w:cs="Arial" w:ascii="Arial" w:hAnsi="Arial"/>
          <w:sz w:val="18"/>
        </w:rPr>
        <w:t xml:space="preserve"> day of each month with the aggregate number of Users and number of Daily Accesses by such Users.   </w:t>
      </w:r>
      <w:r>
        <w:rPr>
          <w:rFonts w:cs="Univers" w:ascii="Univers" w:hAnsi="Univers"/>
          <w:sz w:val="18"/>
        </w:rPr>
        <w:t>In addition, the Monthly Reuters Royalty Report shall include the information required under Section 10.5 of the Terms &amp; Conditions.</w:t>
      </w:r>
    </w:p>
    <w:p>
      <w:pPr>
        <w:pStyle w:val="Normal"/>
        <w:ind w:start="-180" w:end="-180"/>
        <w:jc w:val="both"/>
        <w:rPr>
          <w:rFonts w:ascii="Univers" w:hAnsi="Univers" w:cs="Univers"/>
          <w:sz w:val="18"/>
        </w:rPr>
      </w:pPr>
      <w:r>
        <w:rPr>
          <w:rFonts w:cs="Univers" w:ascii="Univers" w:hAnsi="Univers"/>
          <w:sz w:val="18"/>
        </w:rPr>
      </w:r>
    </w:p>
    <w:p>
      <w:pPr>
        <w:pStyle w:val="Normal"/>
        <w:ind w:start="-180" w:end="-180"/>
        <w:jc w:val="both"/>
        <w:rPr>
          <w:rFonts w:ascii="Univers" w:hAnsi="Univers" w:cs="Univers"/>
          <w:sz w:val="18"/>
        </w:rPr>
      </w:pPr>
      <w:r>
        <w:rPr>
          <w:rFonts w:cs="Univers" w:ascii="Univers" w:hAnsi="Univers"/>
          <w:sz w:val="18"/>
        </w:rPr>
        <w:t>Reuters will invoice the Distributor quarterly in arrears on the basis of the reported Users and Daily Accesses, or Reuters report as appropriate.</w:t>
      </w:r>
    </w:p>
    <w:p>
      <w:pPr>
        <w:pStyle w:val="Normal"/>
        <w:ind w:start="-180" w:end="-180"/>
        <w:jc w:val="both"/>
        <w:rPr>
          <w:rFonts w:ascii="Univers" w:hAnsi="Univers" w:cs="Univers"/>
          <w:sz w:val="18"/>
        </w:rPr>
      </w:pPr>
      <w:r>
        <w:rPr>
          <w:rFonts w:cs="Univers" w:ascii="Univers" w:hAnsi="Univers"/>
          <w:sz w:val="18"/>
        </w:rPr>
      </w:r>
    </w:p>
    <w:p>
      <w:pPr>
        <w:pStyle w:val="Normal"/>
        <w:ind w:start="-180" w:end="-180"/>
        <w:jc w:val="both"/>
        <w:rPr>
          <w:rFonts w:ascii="Univers" w:hAnsi="Univers" w:cs="Univers"/>
          <w:sz w:val="18"/>
        </w:rPr>
      </w:pPr>
      <w:r>
        <w:rPr>
          <w:rFonts w:cs="Univers" w:ascii="Univers" w:hAnsi="Univers"/>
          <w:sz w:val="18"/>
        </w:rPr>
        <w:t>Distributor must supply proof to Reuters that administration systems are in place to count the Users and Daily Accesses, as appropriate.  Distributor’s administration system must have an audit trail and data needs to be stored for a minimum period of six (6) months.</w:t>
      </w:r>
    </w:p>
    <w:p>
      <w:pPr>
        <w:pStyle w:val="Normal"/>
        <w:ind w:start="-180" w:end="-180"/>
        <w:jc w:val="both"/>
        <w:rPr>
          <w:rFonts w:ascii="Univers" w:hAnsi="Univers" w:cs="Univers"/>
          <w:sz w:val="18"/>
        </w:rPr>
      </w:pPr>
      <w:r>
        <w:rPr>
          <w:rFonts w:cs="Univers" w:ascii="Univers" w:hAnsi="Univers"/>
          <w:sz w:val="18"/>
        </w:rPr>
      </w:r>
    </w:p>
    <w:p>
      <w:pPr>
        <w:pStyle w:val="Normal"/>
        <w:ind w:start="-180" w:end="-180"/>
        <w:jc w:val="both"/>
        <w:rPr>
          <w:rFonts w:ascii="Univers" w:hAnsi="Univers" w:cs="Univers"/>
          <w:b/>
          <w:sz w:val="22"/>
        </w:rPr>
      </w:pPr>
      <w:r>
        <w:rPr>
          <w:rFonts w:cs="Univers" w:ascii="Univers" w:hAnsi="Univers"/>
          <w:b/>
          <w:sz w:val="18"/>
        </w:rPr>
        <w:t xml:space="preserve">3. </w:t>
      </w:r>
      <w:r>
        <w:rPr>
          <w:rFonts w:cs="Univers" w:ascii="Univers" w:hAnsi="Univers"/>
          <w:b/>
          <w:sz w:val="18"/>
          <w:u w:val="single"/>
        </w:rPr>
        <w:t>Audit Rights</w:t>
      </w:r>
      <w:r>
        <w:rPr>
          <w:rFonts w:cs="Univers" w:ascii="Univers" w:hAnsi="Univers"/>
          <w:sz w:val="18"/>
        </w:rPr>
        <w:t>. Once a year during the term of this Agreement and the first year thereafter, Reuters, at its expense and upon 10 days’ notice to Distributor, will have the right to examine Distributor’s relevant books and records in order to verify the figures reported in any report or statement required hereunder and the amounts owed to Reuters pursuant to this Agreement.  Such books and records will be made available at the place where these records are kept in the ordinary course of business.  Reuters shall have the right to make two (2) copies of such relevant books and records for the sole purpose of carrying out its examination, subject to Distributor’s right to redact, prior to copying, any sensitive information not relevant to the examination.  If, as a result of such examination, Reuters determines that Distributor misreported any figure or underpaid any amount, Reuters will promptly furnish to Distributor a copy of the results of its audit setting forth the discrepancy, and showing, in reasonable detail, the bases upon which the same was determined.  Distributor will remit to Reuters a sum equal to the amount of any underpayment within 30 days after notification of the discrepancy.  If such discrepancy is greater than 10% of the total amount reported by Distributor for the period audited, then Distributor will reimburse Reuters for the cost of the examination.</w:t>
      </w:r>
    </w:p>
    <w:p>
      <w:pPr>
        <w:pStyle w:val="Normal"/>
        <w:rPr>
          <w:rFonts w:ascii="Univers" w:hAnsi="Univers" w:cs="Univers"/>
          <w:b/>
          <w:sz w:val="16"/>
        </w:rPr>
      </w:pPr>
      <w:r>
        <w:rPr>
          <w:rFonts w:cs="Univers" w:ascii="Univers" w:hAnsi="Univers"/>
          <w:b/>
          <w:sz w:val="16"/>
        </w:rPr>
      </w:r>
    </w:p>
    <w:p>
      <w:pPr>
        <w:pStyle w:val="Normal"/>
        <w:rPr>
          <w:rFonts w:ascii="Univers" w:hAnsi="Univers" w:cs="Univers"/>
          <w:sz w:val="16"/>
        </w:rPr>
      </w:pPr>
      <w:r>
        <w:rPr>
          <w:rFonts w:cs="Univers" w:ascii="Univers" w:hAnsi="Univers"/>
          <w:sz w:val="16"/>
        </w:rPr>
      </w:r>
    </w:p>
    <w:p>
      <w:pPr>
        <w:pStyle w:val="Normal"/>
        <w:jc w:val="end"/>
        <w:rPr>
          <w:rFonts w:ascii="Univers" w:hAnsi="Univers" w:cs="Univers"/>
          <w:sz w:val="16"/>
        </w:rPr>
      </w:pPr>
      <w:r>
        <w:rPr>
          <w:rFonts w:cs="Univers" w:ascii="Univers" w:hAnsi="Univers"/>
          <w:sz w:val="16"/>
        </w:rPr>
        <w:t>________________</w:t>
      </w:r>
    </w:p>
    <w:p>
      <w:pPr>
        <w:pStyle w:val="Normal"/>
        <w:jc w:val="end"/>
        <w:rPr>
          <w:rFonts w:ascii="Univers" w:hAnsi="Univers" w:cs="Univers"/>
          <w:sz w:val="16"/>
        </w:rPr>
      </w:pPr>
      <w:r>
        <w:rPr>
          <w:rFonts w:cs="Univers" w:ascii="Univers" w:hAnsi="Univers"/>
          <w:sz w:val="16"/>
        </w:rPr>
        <w:t>DISTR. INITIALS</w:t>
      </w:r>
    </w:p>
    <w:sectPr>
      <w:type w:val="continuous"/>
      <w:pgSz w:w="12240" w:h="15840"/>
      <w:pgMar w:left="1260" w:right="1260" w:gutter="0" w:header="72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540" w:leader="none"/>
      </w:tabs>
      <w:ind w:end="-180"/>
      <w:rPr>
        <w:rFonts w:ascii="Univers" w:hAnsi="Univers" w:cs="Univers"/>
        <w:b/>
      </w:rPr>
    </w:pPr>
    <w:r>
      <w:rPr>
        <w:b/>
      </w:rPr>
      <w:t>ORDER FORM (No. 1)</w:t>
      <w:tab/>
      <w:tab/>
    </w:r>
    <w:r>
      <w:rPr>
        <w:rFonts w:cs="Univers" w:ascii="Univers" w:hAnsi="Univers"/>
        <w:b/>
        <w:sz w:val="28"/>
      </w:rPr>
      <w:t>CONFIDENTIAL</w:t>
    </w:r>
  </w:p>
  <w:p>
    <w:pPr>
      <w:pStyle w:val="Header"/>
      <w:rPr/>
    </w:pPr>
    <w:r>
      <w:rPr>
        <w:b/>
      </w:rPr>
      <w:t xml:space="preserve">Page </w:t>
    </w:r>
    <w:r>
      <w:rPr>
        <w:b/>
      </w:rPr>
      <w:fldChar w:fldCharType="begin"/>
    </w:r>
    <w:r>
      <w:rPr>
        <w:b/>
      </w:rPr>
      <w:instrText xml:space="preserve"> PAGE </w:instrText>
    </w:r>
    <w:r>
      <w:rPr>
        <w:b/>
      </w:rPr>
      <w:fldChar w:fldCharType="separate"/>
    </w:r>
    <w:r>
      <w:rPr>
        <w:b/>
      </w:rPr>
      <w:t>2</w:t>
    </w:r>
    <w:r>
      <w:rPr>
        <w:b/>
      </w:rPr>
      <w:fldChar w:fldCharType="end"/>
    </w:r>
    <w:r>
      <w:rPr>
        <w:b/>
      </w:rPr>
      <w:t xml:space="preserve"> of 3</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end"/>
      <w:rPr>
        <w:rFonts w:ascii="Univers" w:hAnsi="Univers" w:cs="Univers"/>
        <w:b/>
      </w:rPr>
    </w:pPr>
    <w:r>
      <w:drawing>
        <wp:anchor behindDoc="0" distT="0" distB="0" distL="114935" distR="114935" simplePos="0" locked="0" layoutInCell="0" allowOverlap="1" relativeHeight="2">
          <wp:simplePos x="0" y="0"/>
          <wp:positionH relativeFrom="column">
            <wp:posOffset>-274320</wp:posOffset>
          </wp:positionH>
          <wp:positionV relativeFrom="paragraph">
            <wp:posOffset>-91440</wp:posOffset>
          </wp:positionV>
          <wp:extent cx="1920240" cy="4800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b/>
      </w:rPr>
      <w:tab/>
      <w:tab/>
    </w:r>
    <w:r>
      <w:rPr>
        <w:rFonts w:cs="Univers" w:ascii="Univers" w:hAnsi="Univers"/>
        <w:b/>
        <w:sz w:val="28"/>
      </w:rPr>
      <w:t>CONFIDENTIAL</w:t>
    </w:r>
  </w:p>
  <w:p>
    <w:pPr>
      <w:pStyle w:val="Header"/>
      <w:rPr>
        <w:rFonts w:ascii="Univers" w:hAnsi="Univers" w:cs="Univers"/>
        <w:b/>
      </w:rPr>
    </w:pPr>
    <w:r>
      <w:rPr>
        <w:rFonts w:cs="Univers" w:ascii="Univers" w:hAnsi="Univers"/>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widowControl w:val="false"/>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2">
    <w:name w:val="Body Text 2"/>
    <w:basedOn w:val="Normal"/>
    <w:qFormat/>
    <w:pPr>
      <w:jc w:val="both"/>
    </w:pPr>
    <w:rPr>
      <w:b/>
      <w:sz w:val="22"/>
    </w:rPr>
  </w:style>
  <w:style w:type="paragraph" w:styleId="BodyTextIndent">
    <w:name w:val="Body Text Indent"/>
    <w:basedOn w:val="Normal"/>
    <w:pPr>
      <w:tabs>
        <w:tab w:val="clear" w:pos="720"/>
        <w:tab w:val="left" w:pos="1843" w:leader="none"/>
        <w:tab w:val="left" w:pos="3828" w:leader="none"/>
      </w:tabs>
      <w:ind w:hanging="0" w:start="-426" w:end="0"/>
    </w:pPr>
    <w:rPr>
      <w:rFonts w:ascii="Arial" w:hAnsi="Arial" w:cs="Arial"/>
      <w:lang w:eastAsia="en-US"/>
    </w:rPr>
  </w:style>
  <w:style w:type="paragraph" w:styleId="Subtitle">
    <w:name w:val="Subtitle"/>
    <w:basedOn w:val="Normal"/>
    <w:next w:val="BodyText"/>
    <w:qFormat/>
    <w:pPr>
      <w:jc w:val="center"/>
    </w:pPr>
    <w:rPr>
      <w:b/>
      <w:sz w:val="24"/>
      <w:lang w:val="en-GB" w:eastAsia="en-US"/>
    </w:rPr>
  </w:style>
  <w:style w:type="paragraph" w:styleId="BodyText3">
    <w:name w:val="Body Text 3"/>
    <w:basedOn w:val="Normal"/>
    <w:qFormat/>
    <w:pPr>
      <w:jc w:val="both"/>
    </w:pPr>
    <w:rPr>
      <w:rFonts w:ascii="Univers" w:hAnsi="Univers" w:cs="Univers"/>
      <w:b/>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Enron-Investor-NewsOrderForm 4 20 00</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2000-04-24T21:05:00Z</dcterms:created>
  <dc:creator>Stanford M. Lin</dc:creator>
  <dc:description/>
  <dc:language>en-CA</dc:language>
  <cp:lastModifiedBy>Stanford M. Lin</cp:lastModifiedBy>
  <cp:lastPrinted>2000-04-24T19:38:00Z</cp:lastPrinted>
  <dcterms:modified xsi:type="dcterms:W3CDTF">2000-04-24T21:19:00Z</dcterms:modified>
  <cp:revision>5</cp:revision>
  <dc:subject/>
  <dc:title>Contract No</dc:title>
</cp:coreProperties>
</file>