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Normal"/>
        <w:jc w:val="center"/>
        <w:rPr>
          <w:b/>
        </w:rPr>
      </w:pPr>
      <w:r>
        <w:rPr>
          <w:b/>
        </w:rPr>
        <w:t>ORDER FORM (No. 2)</w:t>
      </w:r>
    </w:p>
    <w:p>
      <w:pPr>
        <w:pStyle w:val="Normal"/>
        <w:rPr>
          <w:rFonts w:ascii="Arial" w:hAnsi="Arial" w:cs="Arial"/>
          <w:b/>
          <w:u w:val="single"/>
        </w:rPr>
      </w:pPr>
      <w:r>
        <w:rPr>
          <w:rFonts w:cs="Arial" w:ascii="Arial" w:hAnsi="Arial"/>
          <w:b/>
          <w:u w:val="single"/>
        </w:rPr>
      </w:r>
    </w:p>
    <w:p>
      <w:pPr>
        <w:pStyle w:val="Normal"/>
        <w:jc w:val="center"/>
        <w:rPr>
          <w:rFonts w:ascii="Arial" w:hAnsi="Arial" w:cs="Arial"/>
          <w:b/>
          <w:sz w:val="24"/>
        </w:rPr>
      </w:pPr>
      <w:r>
        <w:rPr>
          <w:rFonts w:cs="Arial" w:ascii="Arial" w:hAnsi="Arial"/>
          <w:b/>
          <w:sz w:val="24"/>
        </w:rPr>
        <w:t>REUTERS INVESTOR DISTRIBUTION ORDER FORM</w:t>
      </w:r>
    </w:p>
    <w:p>
      <w:pPr>
        <w:pStyle w:val="Normal"/>
        <w:rPr>
          <w:rFonts w:ascii="Arial" w:hAnsi="Arial" w:cs="Arial"/>
          <w:b/>
          <w:sz w:val="24"/>
        </w:rPr>
      </w:pPr>
      <w:r>
        <w:rPr>
          <w:rFonts w:cs="Arial" w:ascii="Arial" w:hAnsi="Arial"/>
          <w:b/>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tc>
      </w:tr>
    </w:tbl>
    <w:p>
      <w:pPr>
        <w:pStyle w:val="Normal"/>
        <w:rPr>
          <w:rFonts w:ascii="Arial" w:hAnsi="Arial" w:cs="Arial"/>
        </w:rPr>
      </w:pPr>
      <w:r>
        <w:rPr>
          <w:rFonts w:cs="Arial" w:ascii="Arial" w:hAnsi="Arial"/>
        </w:rPr>
      </w:r>
    </w:p>
    <w:tbl>
      <w:tblPr>
        <w:tblW w:w="9782" w:type="dxa"/>
        <w:jc w:val="start"/>
        <w:tblInd w:w="-318" w:type="dxa"/>
        <w:tblLayout w:type="fixed"/>
        <w:tblCellMar>
          <w:top w:w="0" w:type="dxa"/>
          <w:start w:w="108" w:type="dxa"/>
          <w:bottom w:w="0" w:type="dxa"/>
          <w:end w:w="108" w:type="dxa"/>
        </w:tblCellMar>
      </w:tblPr>
      <w:tblGrid>
        <w:gridCol w:w="1135"/>
        <w:gridCol w:w="1889"/>
        <w:gridCol w:w="1088"/>
        <w:gridCol w:w="1936"/>
        <w:gridCol w:w="1038"/>
        <w:gridCol w:w="2696"/>
      </w:tblGrid>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Name of Legal Entity Subscribing to Services (“Distributor”)</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Enron Corp.</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pPr>
            <w:r>
              <w:rPr>
                <w:rFonts w:cs="Arial" w:ascii="Arial" w:hAnsi="Arial"/>
                <w:b/>
                <w:sz w:val="18"/>
              </w:rPr>
              <w:t>Distributor’s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State/Country of Incorporation</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 xml:space="preserve">Houston, TX  </w:t>
            </w:r>
          </w:p>
        </w:tc>
      </w:tr>
      <w:tr>
        <w:trPr>
          <w:trHeight w:val="280" w:hRule="exac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Billing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Billing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Installation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Installation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Technical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 Montagne</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p>
            <w:pPr>
              <w:pStyle w:val="Normal"/>
              <w:rPr>
                <w:rFonts w:ascii="Arial" w:hAnsi="Arial" w:cs="Arial"/>
                <w:b/>
                <w:sz w:val="18"/>
              </w:rPr>
            </w:pPr>
            <w:r>
              <w:rPr>
                <w:rFonts w:cs="Arial" w:ascii="Arial" w:hAnsi="Arial"/>
                <w:b/>
                <w:sz w:val="18"/>
              </w:rPr>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713-853-1903</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kevin.montagne@enron.com</w:t>
            </w:r>
          </w:p>
        </w:tc>
      </w:tr>
      <w:tr>
        <w:trPr>
          <w:trHeight w:val="440" w:hRule="atLeast"/>
        </w:trPr>
        <w:tc>
          <w:tcPr>
            <w:tcW w:w="9782" w:type="dxa"/>
            <w:gridSpan w:val="6"/>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Reuters Contact</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 Carithers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713-210-8507</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713-751-0094</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lynne.carithers@reuters.com</w:t>
            </w:r>
          </w:p>
        </w:tc>
      </w:tr>
    </w:tbl>
    <w:p>
      <w:pPr>
        <w:pStyle w:val="Header"/>
        <w:tabs>
          <w:tab w:val="clear" w:pos="4320"/>
          <w:tab w:val="clear" w:pos="8640"/>
        </w:tabs>
        <w:rPr>
          <w:rFonts w:ascii="Arial" w:hAnsi="Arial" w:cs="Arial"/>
          <w:b/>
        </w:rPr>
      </w:pPr>
      <w:r>
        <w:rPr>
          <w:rFonts w:cs="Arial" w:ascii="Arial" w:hAnsi="Arial"/>
          <w:b/>
        </w:rPr>
      </w:r>
    </w:p>
    <w:p>
      <w:pPr>
        <w:pStyle w:val="Normal"/>
        <w:rPr>
          <w:rFonts w:ascii="Arial" w:hAnsi="Arial" w:cs="Arial"/>
          <w:b/>
        </w:rPr>
      </w:pPr>
      <w:r>
        <w:rPr>
          <w:rFonts w:cs="Arial" w:ascii="Arial" w:hAnsi="Arial"/>
          <w:b/>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973"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Description and URL of Distributor’s Internet Service(s)  (“Distributor’s Internet Service”):</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BodyText3"/>
              <w:rPr>
                <w:b/>
              </w:rPr>
            </w:pPr>
            <w:r>
              <w:rPr/>
              <w:t>REFER TO INTERNET SERVICES AGREEMENT ORDER FORM  (No. 1) DATED APRIL 25, 2000</w:t>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 w:val="left" w:pos="1843" w:leader="none"/>
          <w:tab w:val="left" w:pos="5103" w:leader="none"/>
        </w:tabs>
        <w:ind w:start="-426" w:end="0"/>
        <w:rPr>
          <w:rFonts w:ascii="Arial" w:hAnsi="Arial" w:cs="Arial"/>
        </w:rPr>
      </w:pPr>
      <w:r>
        <w:rPr>
          <w:rFonts w:cs="Arial" w:ascii="Arial" w:hAnsi="Arial"/>
        </w:rPr>
        <w:t>Access:</w:t>
        <w:tab/>
        <w:t>Full</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250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100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Type of Service:</w:t>
        <w:tab/>
        <w:t>Public</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Closed User Group</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Delivery Mechanism:</w:t>
        <w:tab/>
        <w:t>RI Market Data API</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SelectServer</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RDF</w:t>
        <w:tab/>
      </w:r>
      <w:r>
        <w:rPr>
          <w:rFonts w:eastAsia="Monotype Sorts" w:cs="Monotype Sorts" w:ascii="Monotype Sorts" w:hAnsi="Monotype Sorts"/>
        </w:rPr>
        <w:sym w:font="Monotype Sorts" w:char="f09d"/>
      </w:r>
    </w:p>
    <w:p>
      <w:pPr>
        <w:sectPr>
          <w:headerReference w:type="default" r:id="rId2"/>
          <w:footerReference w:type="default" r:id="rId3"/>
          <w:type w:val="nextPage"/>
          <w:pgSz w:w="11906" w:h="16838"/>
          <w:pgMar w:left="1418" w:right="1418" w:gutter="0" w:header="720" w:top="1440" w:footer="720" w:bottom="1361"/>
          <w:pgNumType w:fmt="decimal"/>
          <w:formProt w:val="false"/>
          <w:textDirection w:val="lrTb"/>
          <w:docGrid w:type="default" w:linePitch="360" w:charSpace="0"/>
        </w:sectPr>
      </w:pPr>
    </w:p>
    <w:p>
      <w:pPr>
        <w:sectPr>
          <w:type w:val="continuous"/>
          <w:pgSz w:w="11906" w:h="16838"/>
          <w:pgMar w:left="1418" w:right="1418" w:gutter="0" w:header="720" w:top="1440" w:footer="720" w:bottom="1361"/>
          <w:formProt w:val="false"/>
          <w:textDirection w:val="lrTb"/>
          <w:docGrid w:type="default" w:linePitch="360" w:charSpace="0"/>
        </w:sectPr>
        <w:pStyle w:val="Normal"/>
        <w:numPr>
          <w:ilvl w:val="0"/>
          <w:numId w:val="0"/>
        </w:numPr>
        <w:tabs>
          <w:tab w:val="clear" w:pos="720"/>
          <w:tab w:val="left" w:pos="1418" w:leader="none"/>
          <w:tab w:val="left" w:pos="5103" w:leader="none"/>
        </w:tabs>
        <w:ind w:start="-426" w:end="0"/>
        <w:rPr>
          <w:rFonts w:ascii="Arial" w:hAnsi="Arial" w:cs="Arial"/>
          <w:sz w:val="24"/>
        </w:rPr>
      </w:pPr>
      <w:r>
        <w:rPr>
          <w:rFonts w:cs="Arial" w:ascii="Arial" w:hAnsi="Arial"/>
          <w:sz w:val="24"/>
        </w:rPr>
      </w:r>
      <w:r>
        <w:br w:type="page"/>
      </w:r>
    </w:p>
    <w:p>
      <w:pPr>
        <w:pStyle w:val="Normal"/>
        <w:tabs>
          <w:tab w:val="clear" w:pos="720"/>
          <w:tab w:val="left" w:pos="1418" w:leader="none"/>
          <w:tab w:val="left" w:pos="5103" w:leader="none"/>
        </w:tabs>
        <w:ind w:start="-426" w:end="0"/>
        <w:rPr>
          <w:rFonts w:ascii="Arial" w:hAnsi="Arial" w:cs="Arial"/>
          <w:sz w:val="24"/>
        </w:rPr>
      </w:pPr>
      <w:r>
        <w:rPr>
          <w:rFonts w:cs="Arial" w:ascii="Arial" w:hAnsi="Arial"/>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s>
        <w:ind w:start="-426" w:end="0"/>
        <w:rPr>
          <w:rFonts w:ascii="Arial" w:hAnsi="Arial" w:cs="Arial"/>
        </w:rPr>
      </w:pPr>
      <w:r>
        <w:rPr>
          <w:rFonts w:cs="Arial" w:ascii="Arial" w:hAnsi="Arial"/>
        </w:rPr>
      </w:r>
    </w:p>
    <w:p>
      <w:pPr>
        <w:pStyle w:val="Normal"/>
        <w:rPr>
          <w:rFonts w:ascii="Arial" w:hAnsi="Arial" w:cs="Arial"/>
          <w:b/>
          <w:sz w:val="18"/>
        </w:rPr>
      </w:pPr>
      <w:r>
        <w:rPr>
          <w:rFonts w:cs="Arial" w:ascii="Arial" w:hAnsi="Arial"/>
          <w:b/>
          <w:sz w:val="18"/>
        </w:rPr>
      </w:r>
    </w:p>
    <w:p>
      <w:pPr>
        <w:pStyle w:val="Header"/>
        <w:tabs>
          <w:tab w:val="clear" w:pos="4320"/>
          <w:tab w:val="clear" w:pos="8640"/>
          <w:tab w:val="left" w:pos="1843" w:leader="none"/>
          <w:tab w:val="left" w:pos="3828" w:leader="none"/>
        </w:tabs>
        <w:ind w:start="-426" w:end="0"/>
        <w:rPr/>
      </w:pPr>
      <w:r>
        <w:rPr>
          <w:rFonts w:cs="Arial" w:ascii="Arial" w:hAnsi="Arial"/>
          <w:b/>
          <w:color w:val="000000"/>
          <w:sz w:val="18"/>
        </w:rPr>
        <w:t>Language for HTML pages</w:t>
      </w:r>
      <w:r>
        <w:rPr>
          <w:rFonts w:cs="Arial" w:ascii="Arial" w:hAnsi="Arial"/>
          <w:color w:val="000000"/>
          <w:sz w:val="18"/>
        </w:rPr>
        <w:t>:  English</w:t>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ind w:start="-450" w:end="0"/>
        <w:rPr/>
      </w:pPr>
      <w:r>
        <w:rPr>
          <w:rFonts w:cs="Arial" w:ascii="Arial" w:hAnsi="Arial"/>
          <w:b/>
          <w:color w:val="000000"/>
          <w:sz w:val="18"/>
        </w:rPr>
        <w:t>Time Zone for data timestamps:</w:t>
      </w:r>
      <w:r>
        <w:rPr>
          <w:rFonts w:cs="Arial" w:ascii="Arial" w:hAnsi="Arial"/>
          <w:color w:val="000000"/>
          <w:sz w:val="18"/>
        </w:rPr>
        <w:t xml:space="preserve"> CET</w:t>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5103" w:leader="none"/>
        </w:tabs>
        <w:ind w:start="-426" w:end="0"/>
        <w:rPr>
          <w:rFonts w:ascii="Arial" w:hAnsi="Arial" w:cs="Arial"/>
          <w:color w:val="000000"/>
          <w:sz w:val="18"/>
        </w:rPr>
      </w:pPr>
      <w:r>
        <w:rPr>
          <w:rFonts w:cs="Arial" w:ascii="Arial" w:hAnsi="Arial"/>
          <w:color w:val="000000"/>
          <w:sz w:val="18"/>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440"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1843" w:leader="none"/>
                <w:tab w:val="left" w:pos="3828" w:leader="none"/>
              </w:tabs>
              <w:rPr/>
            </w:pPr>
            <w:r>
              <w:rPr>
                <w:rFonts w:cs="Arial" w:ascii="Arial" w:hAnsi="Arial"/>
                <w:b/>
                <w:color w:val="000000"/>
                <w:sz w:val="18"/>
              </w:rPr>
              <w:t>Stylesheet URL</w:t>
            </w:r>
            <w:r>
              <w:rPr>
                <w:rFonts w:cs="Arial" w:ascii="Arial" w:hAnsi="Arial"/>
                <w:color w:val="000000"/>
                <w:sz w:val="18"/>
              </w:rPr>
              <w:t xml:space="preserve"> (ref Programmer's Guide) if you are using HTML pages:</w:t>
            </w:r>
          </w:p>
          <w:p>
            <w:pPr>
              <w:pStyle w:val="Normal"/>
              <w:rPr>
                <w:rFonts w:ascii="Arial" w:hAnsi="Arial" w:cs="Arial"/>
                <w:b/>
                <w:color w:val="000000"/>
                <w:sz w:val="18"/>
              </w:rPr>
            </w:pPr>
            <w:r>
              <w:rPr>
                <w:rFonts w:cs="Arial" w:ascii="Arial" w:hAnsi="Arial"/>
                <w:color w:val="000000"/>
                <w:sz w:val="18"/>
              </w:rPr>
              <w:t>(Note that this URL can be updated later if not yet known)</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color w:val="000000"/>
                <w:sz w:val="18"/>
              </w:rPr>
            </w:pPr>
            <w:r>
              <w:rPr>
                <w:rFonts w:cs="Arial" w:ascii="Arial" w:hAnsi="Arial"/>
                <w:b/>
                <w:color w:val="000000"/>
                <w:sz w:val="18"/>
              </w:rPr>
            </w:r>
          </w:p>
        </w:tc>
      </w:tr>
    </w:tbl>
    <w:p>
      <w:pPr>
        <w:pStyle w:val="Normal"/>
        <w:ind w:start="-426" w:end="0"/>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t>Distributor subscribes to the following services ("Reuters Services") from Reuters Investor:</w:t>
      </w:r>
    </w:p>
    <w:p>
      <w:pPr>
        <w:pStyle w:val="Normal"/>
        <w:rPr>
          <w:rFonts w:ascii="Arial" w:hAnsi="Arial" w:cs="Arial"/>
          <w:b/>
          <w:sz w:val="18"/>
        </w:rPr>
      </w:pPr>
      <w:r>
        <w:rPr>
          <w:rFonts w:cs="Arial" w:ascii="Arial" w:hAnsi="Arial"/>
          <w:b/>
          <w:sz w:val="18"/>
        </w:rPr>
      </w:r>
    </w:p>
    <w:tbl>
      <w:tblPr>
        <w:tblW w:w="9215" w:type="dxa"/>
        <w:jc w:val="start"/>
        <w:tblInd w:w="-318" w:type="dxa"/>
        <w:tblLayout w:type="fixed"/>
        <w:tblCellMar>
          <w:top w:w="0" w:type="dxa"/>
          <w:start w:w="108" w:type="dxa"/>
          <w:bottom w:w="0" w:type="dxa"/>
          <w:end w:w="108" w:type="dxa"/>
        </w:tblCellMar>
      </w:tblPr>
      <w:tblGrid>
        <w:gridCol w:w="1236"/>
        <w:gridCol w:w="1317"/>
        <w:gridCol w:w="1134"/>
        <w:gridCol w:w="1275"/>
        <w:gridCol w:w="851"/>
        <w:gridCol w:w="1134"/>
        <w:gridCol w:w="1276"/>
        <w:gridCol w:w="992"/>
      </w:tblGrid>
      <w:tr>
        <w:trPr>
          <w:trHeight w:val="201" w:hRule="atLeast"/>
        </w:trPr>
        <w:tc>
          <w:tcPr>
            <w:tcW w:w="2553" w:type="dxa"/>
            <w:gridSpan w:val="2"/>
            <w:tcBorders>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6662" w:type="dxa"/>
            <w:gridSpan w:val="6"/>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Data Distribution Fees (as appropriate)</w:t>
            </w:r>
          </w:p>
        </w:tc>
      </w:tr>
      <w:tr>
        <w:trPr>
          <w:trHeight w:val="201" w:hRule="atLeast"/>
        </w:trPr>
        <w:tc>
          <w:tcPr>
            <w:tcW w:w="1236"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Reuters Investor</w:t>
            </w:r>
          </w:p>
          <w:p>
            <w:pPr>
              <w:pStyle w:val="Normal"/>
              <w:jc w:val="center"/>
              <w:rPr>
                <w:rFonts w:ascii="Arial" w:hAnsi="Arial" w:cs="Arial"/>
                <w:b/>
                <w:sz w:val="16"/>
              </w:rPr>
            </w:pPr>
            <w:r>
              <w:rPr>
                <w:rFonts w:cs="Arial" w:ascii="Arial" w:hAnsi="Arial"/>
                <w:b/>
                <w:sz w:val="16"/>
              </w:rPr>
              <w:t>Dataset</w:t>
            </w:r>
          </w:p>
        </w:tc>
        <w:tc>
          <w:tcPr>
            <w:tcW w:w="1317"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Base</w:t>
            </w:r>
          </w:p>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Service</w:t>
            </w:r>
          </w:p>
          <w:p>
            <w:pPr>
              <w:pStyle w:val="Normal"/>
              <w:jc w:val="center"/>
              <w:rPr>
                <w:rFonts w:ascii="Arial" w:hAnsi="Arial" w:cs="Arial"/>
                <w:b/>
                <w:sz w:val="16"/>
              </w:rPr>
            </w:pPr>
            <w:r>
              <w:rPr>
                <w:rFonts w:cs="Arial" w:ascii="Arial" w:hAnsi="Arial"/>
                <w:b/>
                <w:sz w:val="16"/>
              </w:rPr>
              <w:t>Fee</w:t>
            </w:r>
          </w:p>
        </w:tc>
        <w:tc>
          <w:tcPr>
            <w:tcW w:w="3260"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CPM Fee/1000 Page Views</w:t>
            </w:r>
          </w:p>
        </w:tc>
        <w:tc>
          <w:tcPr>
            <w:tcW w:w="3402"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Per User Fee</w:t>
            </w:r>
          </w:p>
        </w:tc>
      </w:tr>
      <w:tr>
        <w:trPr>
          <w:trHeight w:val="200" w:hRule="atLeast"/>
        </w:trPr>
        <w:tc>
          <w:tcPr>
            <w:tcW w:w="1236"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317"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5"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851"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6"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992"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r>
      <w:tr>
        <w:trPr/>
        <w:tc>
          <w:tcPr>
            <w:tcW w:w="12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6"/>
              </w:rPr>
            </w:pPr>
            <w:r>
              <w:rPr>
                <w:rFonts w:cs="Arial" w:ascii="Arial" w:hAnsi="Arial"/>
                <w:sz w:val="16"/>
              </w:rPr>
              <w:t>International Equity Quotes (Delayed Only)</w:t>
            </w:r>
          </w:p>
        </w:tc>
        <w:tc>
          <w:tcPr>
            <w:tcW w:w="131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$5000/month*</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$2.00*</w:t>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N/A</w:t>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r>
      <w:tr>
        <w:trPr/>
        <w:tc>
          <w:tcPr>
            <w:tcW w:w="123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31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bl>
    <w:p>
      <w:pPr>
        <w:pStyle w:val="Normal"/>
        <w:ind w:start="-360" w:end="0"/>
        <w:rPr>
          <w:rFonts w:ascii="Arial" w:hAnsi="Arial" w:cs="Arial"/>
          <w:sz w:val="18"/>
        </w:rPr>
      </w:pPr>
      <w:r>
        <w:rPr>
          <w:rFonts w:cs="Arial" w:ascii="Arial" w:hAnsi="Arial"/>
          <w:sz w:val="18"/>
        </w:rPr>
        <w:t>*The $5000 Base Service Fee includes 5,500,000 Page Views.</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tabs>
          <w:tab w:val="clear" w:pos="720"/>
          <w:tab w:val="left" w:pos="1843" w:leader="none"/>
          <w:tab w:val="left" w:pos="3828" w:leader="none"/>
        </w:tabs>
        <w:ind w:start="-426" w:end="0"/>
        <w:rPr>
          <w:rFonts w:ascii="Arial" w:hAnsi="Arial" w:cs="Arial"/>
          <w:b/>
          <w:color w:val="000000"/>
          <w:u w:val="single"/>
        </w:rPr>
      </w:pPr>
      <w:r>
        <w:rPr>
          <w:rFonts w:cs="Arial" w:ascii="Arial" w:hAnsi="Arial"/>
          <w:b/>
          <w:color w:val="000000"/>
          <w:u w:val="single"/>
        </w:rPr>
        <w:t>REFER TO THE ATTACHED REUTERS INVESTOR FEE SCHEDULE FOR FEES AND PAYMENT SCHEDULE.</w:t>
      </w:r>
    </w:p>
    <w:p>
      <w:pPr>
        <w:pStyle w:val="Normal"/>
        <w:tabs>
          <w:tab w:val="clear" w:pos="720"/>
          <w:tab w:val="left" w:pos="1843" w:leader="none"/>
          <w:tab w:val="left" w:pos="3828" w:leader="none"/>
        </w:tabs>
        <w:ind w:start="-426" w:end="0"/>
        <w:rPr>
          <w:rFonts w:ascii="Arial" w:hAnsi="Arial" w:cs="Arial"/>
          <w:b/>
          <w:color w:val="000000"/>
          <w:sz w:val="18"/>
          <w:u w:val="single"/>
        </w:rPr>
      </w:pPr>
      <w:r>
        <w:rPr>
          <w:rFonts w:cs="Arial" w:ascii="Arial" w:hAnsi="Arial"/>
          <w:b/>
          <w:color w:val="000000"/>
          <w:sz w:val="18"/>
          <w:u w:val="single"/>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Legend</w:t>
        <w:tab/>
        <w:t>D/R: Delayed / Real-time</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ab/>
        <w:t>C/P: Closed user group / Public user group</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color w:val="000000"/>
          <w:sz w:val="18"/>
        </w:rPr>
      </w:pPr>
      <w:r>
        <w:rPr>
          <w:rFonts w:cs="Arial" w:ascii="Arial" w:hAnsi="Arial"/>
          <w:color w:val="000000"/>
          <w:sz w:val="18"/>
        </w:rPr>
        <w:t>Please complete exchange boxes with D or R and C or P</w:t>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tbl>
      <w:tblPr>
        <w:tblW w:w="9498" w:type="dxa"/>
        <w:jc w:val="start"/>
        <w:tblInd w:w="-176" w:type="dxa"/>
        <w:tblLayout w:type="fixed"/>
        <w:tblCellMar>
          <w:top w:w="0" w:type="dxa"/>
          <w:start w:w="108" w:type="dxa"/>
          <w:bottom w:w="0" w:type="dxa"/>
          <w:end w:w="108" w:type="dxa"/>
        </w:tblCellMar>
      </w:tblPr>
      <w:tblGrid>
        <w:gridCol w:w="1560"/>
        <w:gridCol w:w="1418"/>
        <w:gridCol w:w="708"/>
        <w:gridCol w:w="709"/>
        <w:gridCol w:w="284"/>
        <w:gridCol w:w="283"/>
        <w:gridCol w:w="567"/>
        <w:gridCol w:w="284"/>
        <w:gridCol w:w="283"/>
        <w:gridCol w:w="567"/>
        <w:gridCol w:w="284"/>
        <w:gridCol w:w="283"/>
        <w:gridCol w:w="567"/>
        <w:gridCol w:w="284"/>
        <w:gridCol w:w="283"/>
        <w:gridCol w:w="567"/>
        <w:gridCol w:w="284"/>
        <w:gridCol w:w="283"/>
      </w:tblGrid>
      <w:tr>
        <w:trPr/>
        <w:tc>
          <w:tcPr>
            <w:tcW w:w="2978" w:type="dxa"/>
            <w:gridSpan w:val="2"/>
            <w:vMerge w:val="restart"/>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COUNTRY</w:t>
            </w:r>
          </w:p>
          <w:p>
            <w:pPr>
              <w:pStyle w:val="Header"/>
              <w:tabs>
                <w:tab w:val="left" w:pos="1843" w:leader="none"/>
                <w:tab w:val="left" w:pos="3828" w:leader="none"/>
                <w:tab w:val="center" w:pos="4320" w:leader="none"/>
                <w:tab w:val="right" w:pos="8640" w:leader="none"/>
              </w:tabs>
              <w:jc w:val="center"/>
              <w:rPr>
                <w:rFonts w:ascii="Arial" w:hAnsi="Arial" w:cs="Arial"/>
                <w:b/>
                <w:color w:val="000000"/>
                <w:sz w:val="18"/>
              </w:rPr>
            </w:pPr>
            <w:r>
              <w:rPr>
                <w:rFonts w:cs="Arial" w:ascii="Arial" w:hAnsi="Arial"/>
                <w:b/>
                <w:color w:val="000000"/>
                <w:sz w:val="18"/>
              </w:rPr>
              <w:t>Data-Set</w:t>
            </w:r>
          </w:p>
        </w:tc>
        <w:tc>
          <w:tcPr>
            <w:tcW w:w="708" w:type="dxa"/>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News</w:t>
            </w:r>
          </w:p>
        </w:tc>
        <w:tc>
          <w:tcPr>
            <w:tcW w:w="5812" w:type="dxa"/>
            <w:gridSpan w:val="15"/>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Exchanges</w:t>
            </w:r>
          </w:p>
        </w:tc>
      </w:tr>
      <w:tr>
        <w:trPr>
          <w:trHeight w:val="245" w:hRule="atLeast"/>
        </w:trPr>
        <w:tc>
          <w:tcPr>
            <w:tcW w:w="2978" w:type="dxa"/>
            <w:gridSpan w:val="2"/>
            <w:vMerge w:val="continue"/>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snapToGrid w:val="false"/>
              <w:jc w:val="center"/>
              <w:rPr>
                <w:rFonts w:ascii="Arial" w:hAnsi="Arial" w:cs="Arial"/>
                <w:b/>
                <w:color w:val="000000"/>
                <w:sz w:val="18"/>
              </w:rPr>
            </w:pPr>
            <w:r>
              <w:rPr>
                <w:rFonts w:cs="Arial" w:ascii="Arial" w:hAnsi="Arial"/>
                <w:b/>
                <w:color w:val="000000"/>
                <w:sz w:val="18"/>
              </w:rPr>
            </w:r>
          </w:p>
        </w:tc>
        <w:tc>
          <w:tcPr>
            <w:tcW w:w="708" w:type="dxa"/>
            <w:tcBorders>
              <w:start w:val="single" w:sz="6" w:space="0" w:color="000000"/>
              <w:end w:val="single" w:sz="6"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9" w:type="dxa"/>
            <w:tcBorders>
              <w:top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single" w:sz="6"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USA</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top w:val="dotted" w:sz="4" w:space="0" w:color="000000"/>
              <w:start w:val="single" w:sz="6" w:space="0" w:color="000000"/>
              <w:bottom w:val="single"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single"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USA/Canada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NYSE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color w:val="000000"/>
                <w:sz w:val="12"/>
              </w:rPr>
              <w:t>ASE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8"/>
              </w:rPr>
            </w:pPr>
            <w:r>
              <w:rPr>
                <w:rFonts w:cs="Arial" w:ascii="Arial" w:hAnsi="Arial"/>
                <w:color w:val="000000"/>
                <w:sz w:val="12"/>
              </w:rPr>
              <w:t>NAS</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CEG</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Latam /Spain</w:t>
            </w:r>
          </w:p>
        </w:tc>
        <w:tc>
          <w:tcPr>
            <w:tcW w:w="1418" w:type="dxa"/>
            <w:tcBorders>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Spain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MCE</w:t>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PAN Europe</w:t>
            </w:r>
          </w:p>
        </w:tc>
        <w:tc>
          <w:tcPr>
            <w:tcW w:w="1418" w:type="dxa"/>
            <w:tcBorders>
              <w:top w:val="single"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EAS</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STX</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ENM</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color w:val="000000"/>
                <w:sz w:val="18"/>
              </w:rPr>
            </w:pPr>
            <w:r>
              <w:rPr>
                <w:rFonts w:eastAsia="Arial" w:cs="Arial" w:ascii="Arial" w:hAnsi="Arial"/>
                <w:b/>
                <w:color w:val="000000"/>
              </w:rPr>
              <w:t xml:space="preserve"> </w:t>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VIE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OTB</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Belgium</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BRU</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BFX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Denmark</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CPH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Finland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HEL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France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MNP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Germany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GSE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EUR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XTR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Greece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athens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Ireland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irish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Italy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IT1</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Luxembourg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LUX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Netherlands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EOE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Norway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Portugal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interbls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porto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Sweden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SOM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Switzerland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CHX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UK</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LIF</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FS1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Asia Pacific</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Australia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ASX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SFE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HongKong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HKG</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India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bombay</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calcutta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delhi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madras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Japan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Korea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New Zealand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NZE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Singapore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SIM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Taiwan</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TAI</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Emerg.Markets</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left" w:pos="1843" w:leader="none"/>
                <w:tab w:val="left" w:pos="3828" w:leader="none"/>
                <w:tab w:val="center" w:pos="4320" w:leader="none"/>
                <w:tab w:val="right" w:pos="8640"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Gulf States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bahrain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tel aviv</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kuwait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South Africa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JSE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Turkey</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IST</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6" w:space="0" w:color="000000"/>
              <w:start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b/>
                <w:color w:val="000000"/>
              </w:rPr>
            </w:pPr>
            <w:r>
              <w:rPr>
                <w:rFonts w:cs="Arial" w:ascii="Arial" w:hAnsi="Arial"/>
                <w:b/>
                <w:color w:val="000000"/>
              </w:rPr>
              <w:t>International</w:t>
            </w:r>
          </w:p>
        </w:tc>
        <w:tc>
          <w:tcPr>
            <w:tcW w:w="1418" w:type="dxa"/>
            <w:tcBorders>
              <w:top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All countries</w:t>
            </w:r>
          </w:p>
        </w:tc>
        <w:tc>
          <w:tcPr>
            <w:tcW w:w="70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6"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D</w:t>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C</w:t>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bl>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color w:val="000000"/>
          <w:sz w:val="18"/>
        </w:rPr>
      </w:pPr>
      <w:r>
        <w:rPr>
          <w:rFonts w:cs="Arial" w:ascii="Arial" w:hAnsi="Arial"/>
          <w:b/>
          <w:color w:val="000000"/>
          <w:sz w:val="18"/>
        </w:rPr>
      </w:r>
    </w:p>
    <w:p>
      <w:pPr>
        <w:pStyle w:val="Normal"/>
        <w:jc w:val="both"/>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 xml:space="preserve">Equipment: </w:t>
      </w:r>
    </w:p>
    <w:p>
      <w:pPr>
        <w:pStyle w:val="Normal"/>
        <w:pBdr>
          <w:bottom w:val="single" w:sz="6" w:space="0" w:color="000000"/>
        </w:pBdr>
        <w:ind w:end="409"/>
        <w:rPr>
          <w:rFonts w:ascii="Arial" w:hAnsi="Arial" w:cs="Arial"/>
          <w:b/>
          <w:sz w:val="18"/>
        </w:rPr>
      </w:pPr>
      <w:r>
        <w:rPr>
          <w:rFonts w:cs="Arial" w:ascii="Arial" w:hAnsi="Arial"/>
          <w:sz w:val="18"/>
        </w:rPr>
        <w:t>N/A</w:t>
      </w:r>
    </w:p>
    <w:p>
      <w:pPr>
        <w:pStyle w:val="Normal"/>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Software:</w:t>
      </w:r>
    </w:p>
    <w:p>
      <w:pPr>
        <w:pStyle w:val="Normal"/>
        <w:pBdr>
          <w:bottom w:val="single" w:sz="6" w:space="1" w:color="000000"/>
        </w:pBdr>
        <w:ind w:end="409"/>
        <w:rPr>
          <w:rFonts w:ascii="Arial" w:hAnsi="Arial" w:cs="Arial"/>
          <w:b/>
          <w:sz w:val="18"/>
        </w:rPr>
      </w:pPr>
      <w:r>
        <w:rPr>
          <w:rFonts w:cs="Arial" w:ascii="Arial" w:hAnsi="Arial"/>
          <w:sz w:val="18"/>
        </w:rPr>
        <w:t>RI Market Data API</w:t>
      </w:r>
    </w:p>
    <w:p>
      <w:pPr>
        <w:pStyle w:val="Normal"/>
        <w:rPr>
          <w:rFonts w:ascii="Arial" w:hAnsi="Arial" w:cs="Arial"/>
          <w:b/>
          <w:sz w:val="18"/>
        </w:rPr>
      </w:pPr>
      <w:r>
        <w:rPr>
          <w:rFonts w:cs="Arial" w:ascii="Arial" w:hAnsi="Arial"/>
          <w:b/>
          <w:sz w:val="18"/>
        </w:rPr>
      </w:r>
    </w:p>
    <w:tbl>
      <w:tblPr>
        <w:tblW w:w="9198" w:type="dxa"/>
        <w:jc w:val="start"/>
        <w:tblInd w:w="108" w:type="dxa"/>
        <w:tblLayout w:type="fixed"/>
        <w:tblCellMar>
          <w:top w:w="0" w:type="dxa"/>
          <w:start w:w="108" w:type="dxa"/>
          <w:bottom w:w="0" w:type="dxa"/>
          <w:end w:w="108" w:type="dxa"/>
        </w:tblCellMar>
      </w:tblPr>
      <w:tblGrid>
        <w:gridCol w:w="4878"/>
        <w:gridCol w:w="4320"/>
      </w:tblGrid>
      <w:tr>
        <w:trPr>
          <w:trHeight w:val="397" w:hRule="atLeast"/>
        </w:trPr>
        <w:tc>
          <w:tcPr>
            <w:tcW w:w="9198" w:type="dxa"/>
            <w:gridSpan w:val="2"/>
            <w:tcBorders>
              <w:top w:val="single" w:sz="4" w:space="0" w:color="000000"/>
              <w:start w:val="single" w:sz="4" w:space="0" w:color="000000"/>
              <w:end w:val="single" w:sz="4" w:space="0" w:color="000000"/>
            </w:tcBorders>
          </w:tcPr>
          <w:p>
            <w:pPr>
              <w:pStyle w:val="Heading6"/>
              <w:ind w:hanging="0" w:start="0"/>
              <w:rPr/>
            </w:pPr>
            <w:r>
              <w:rPr/>
              <w:t>ADDITIONAL FEES</w:t>
            </w:r>
          </w:p>
          <w:p>
            <w:pPr>
              <w:pStyle w:val="Header"/>
              <w:tabs>
                <w:tab w:val="clear" w:pos="4320"/>
                <w:tab w:val="clear" w:pos="8640"/>
              </w:tabs>
              <w:jc w:val="center"/>
              <w:rPr>
                <w:rFonts w:ascii="Arial" w:hAnsi="Arial" w:cs="Arial"/>
                <w:sz w:val="18"/>
              </w:rPr>
            </w:pPr>
            <w:r>
              <w:rPr>
                <w:rFonts w:cs="Arial" w:ascii="Arial" w:hAnsi="Arial"/>
                <w:sz w:val="18"/>
              </w:rPr>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Installation Charge:</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Communications Charge (per month):</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bottom w:val="single" w:sz="4" w:space="0" w:color="000000"/>
            </w:tcBorders>
          </w:tcPr>
          <w:p>
            <w:pPr>
              <w:pStyle w:val="Normal"/>
              <w:ind w:start="-18" w:end="0"/>
              <w:rPr>
                <w:rFonts w:ascii="Arial" w:hAnsi="Arial" w:cs="Arial"/>
                <w:b/>
                <w:sz w:val="18"/>
              </w:rPr>
            </w:pPr>
            <w:r>
              <w:rPr>
                <w:rFonts w:cs="Arial" w:ascii="Arial" w:hAnsi="Arial"/>
                <w:b/>
                <w:sz w:val="18"/>
              </w:rPr>
              <w:t>Software Fee (per month):</w:t>
            </w:r>
          </w:p>
        </w:tc>
        <w:tc>
          <w:tcPr>
            <w:tcW w:w="4320" w:type="dxa"/>
            <w:tcBorders>
              <w:bottom w:val="single" w:sz="4" w:space="0" w:color="000000"/>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bl>
    <w:p>
      <w:pPr>
        <w:pStyle w:val="Normal"/>
        <w:ind w:end="409"/>
        <w:rPr>
          <w:rFonts w:ascii="Arial" w:hAnsi="Arial" w:cs="Arial"/>
          <w:sz w:val="18"/>
        </w:rPr>
      </w:pPr>
      <w:r>
        <w:rPr>
          <w:rFonts w:cs="Arial" w:ascii="Arial" w:hAnsi="Arial"/>
          <w:sz w:val="18"/>
        </w:rPr>
        <w:t xml:space="preserve">*Any consulting and development work required for the integration of the RI Market Data API and Distributor’s hardware and software systems is not included as part of this Order Form and shall be invoiced separately at Reuters standard rates.  </w:t>
      </w:r>
    </w:p>
    <w:p>
      <w:pPr>
        <w:pStyle w:val="Normal"/>
        <w:ind w:end="409"/>
        <w:rPr>
          <w:rFonts w:ascii="Arial" w:hAnsi="Arial" w:cs="Arial"/>
          <w:sz w:val="18"/>
        </w:rPr>
      </w:pPr>
      <w:r>
        <w:rPr>
          <w:rFonts w:cs="Arial" w:ascii="Arial" w:hAnsi="Arial"/>
          <w:sz w:val="18"/>
        </w:rPr>
      </w:r>
    </w:p>
    <w:p>
      <w:pPr>
        <w:pStyle w:val="BodyText"/>
        <w:ind w:end="409"/>
        <w:rPr>
          <w:rFonts w:ascii="Arial" w:hAnsi="Arial" w:cs="Arial"/>
          <w:b w:val="false"/>
          <w:color w:val="FF0000"/>
        </w:rPr>
      </w:pPr>
      <w:r>
        <w:rPr>
          <w:rFonts w:cs="Helv" w:ascii="Helv" w:hAnsi="Helv"/>
          <w:color w:val="FF0000"/>
        </w:rPr>
        <w:t xml:space="preserve">THE PARTIES ACKNOWLEDGE AND AGREE THAT IN THE EVENT DISTRIBUTOR IS UNABLE TO OBTAIN ALL OF THE EXCHANGE CONSENTS NECESSARY IN ORDER TO RECEIVE AND USE THE REUTERS INVESTOR DATASETS DESCRIBED HEREIN BY SEPTEMBER 1, 2000, DISTRIBUTOR MAY CANCEL THIS ORDER FORM AS OF SEPTEMBER 7, 2000 BY WRITTEN NOTICE TO REUTERS ON OR PRIOR TO SEPTEMBER 7, 2000. </w:t>
      </w:r>
    </w:p>
    <w:p>
      <w:pPr>
        <w:pStyle w:val="BodyText"/>
        <w:ind w:end="409"/>
        <w:rPr>
          <w:rFonts w:ascii="Arial" w:hAnsi="Arial" w:cs="Arial"/>
          <w:b w:val="false"/>
          <w:color w:val="FF0000"/>
        </w:rPr>
      </w:pPr>
      <w:r>
        <w:rPr>
          <w:rFonts w:cs="Arial" w:ascii="Arial" w:hAnsi="Arial"/>
          <w:b w:val="false"/>
          <w:color w:val="FF0000"/>
        </w:rPr>
      </w:r>
    </w:p>
    <w:p>
      <w:pPr>
        <w:pStyle w:val="BodyText"/>
        <w:ind w:end="409"/>
        <w:rPr/>
      </w:pPr>
      <w:r>
        <w:rPr>
          <w:rFonts w:cs="Arial" w:ascii="Arial" w:hAnsi="Arial"/>
          <w:b w:val="false"/>
        </w:rPr>
        <w:t>By signing below, the parties agree to add the additional Reuters Services, Equipment, Software, Fees and/or other terms and conditions set forth in this Order Form to the Internet Services Agreement between Reuters and Distributor dated April 25, 2000 (the “</w:t>
      </w:r>
      <w:r>
        <w:rPr>
          <w:rFonts w:cs="Arial" w:ascii="Arial" w:hAnsi="Arial"/>
        </w:rPr>
        <w:t>Agreement</w:t>
      </w:r>
      <w:r>
        <w:rPr>
          <w:rFonts w:cs="Arial" w:ascii="Arial" w:hAnsi="Arial"/>
          <w:b w:val="false"/>
        </w:rPr>
        <w:t>”).  This Order Form shall be co-terminus with the Agreement and, except as set forth herein, all of the terms and conditions of the Agreement shall remain in full force and effect.</w:t>
      </w:r>
    </w:p>
    <w:p>
      <w:pPr>
        <w:pStyle w:val="Normal"/>
        <w:ind w:end="409"/>
        <w:jc w:val="both"/>
        <w:rPr>
          <w:rFonts w:ascii="Arial" w:hAnsi="Arial" w:cs="Arial"/>
          <w:b/>
        </w:rPr>
      </w:pPr>
      <w:r>
        <w:rPr>
          <w:rFonts w:cs="Arial" w:ascii="Arial" w:hAnsi="Arial"/>
          <w:b/>
        </w:rPr>
      </w:r>
    </w:p>
    <w:p>
      <w:pPr>
        <w:pStyle w:val="Normal"/>
        <w:ind w:end="409"/>
        <w:jc w:val="both"/>
        <w:rPr>
          <w:rFonts w:ascii="Arial" w:hAnsi="Arial" w:cs="Arial"/>
        </w:rPr>
      </w:pPr>
      <w:r>
        <w:rPr>
          <w:rFonts w:cs="Arial" w:ascii="Arial" w:hAnsi="Arial"/>
        </w:rPr>
      </w:r>
    </w:p>
    <w:p>
      <w:pPr>
        <w:pStyle w:val="Normal"/>
        <w:ind w:end="409"/>
        <w:rPr/>
      </w:pPr>
      <w:r>
        <w:rPr>
          <w:rFonts w:cs="Arial" w:ascii="Arial" w:hAnsi="Arial"/>
          <w:b/>
        </w:rPr>
        <w:t xml:space="preserve">REUTERS AMERICA INC. </w:t>
      </w:r>
      <w:r>
        <w:rPr>
          <w:rFonts w:cs="Arial" w:ascii="Arial" w:hAnsi="Arial"/>
        </w:rPr>
        <w:tab/>
      </w:r>
      <w:r>
        <w:rPr>
          <w:rFonts w:cs="Arial" w:ascii="Arial" w:hAnsi="Arial"/>
          <w:b/>
        </w:rPr>
        <w:tab/>
        <w:tab/>
        <w:tab/>
        <w:t>DISTRIBUTOR:  ENRON CORP.</w:t>
      </w:r>
    </w:p>
    <w:p>
      <w:pPr>
        <w:pStyle w:val="Normal"/>
        <w:ind w:end="409"/>
        <w:rPr>
          <w:rFonts w:ascii="Arial" w:hAnsi="Arial" w:cs="Arial"/>
          <w:b/>
        </w:rPr>
      </w:pPr>
      <w:r>
        <w:rPr>
          <w:rFonts w:cs="Arial" w:ascii="Arial" w:hAnsi="Arial"/>
          <w:b/>
        </w:rPr>
      </w:r>
    </w:p>
    <w:p>
      <w:pPr>
        <w:pStyle w:val="Normal"/>
        <w:ind w:end="409"/>
        <w:rPr>
          <w:rFonts w:ascii="Arial" w:hAnsi="Arial" w:cs="Arial"/>
        </w:rPr>
      </w:pPr>
      <w:r>
        <w:rPr>
          <w:rFonts w:cs="Arial" w:ascii="Arial" w:hAnsi="Arial"/>
        </w:rPr>
      </w:r>
    </w:p>
    <w:p>
      <w:pPr>
        <w:pStyle w:val="Normal"/>
        <w:ind w:end="409"/>
        <w:rPr>
          <w:rFonts w:ascii="Arial" w:hAnsi="Arial" w:cs="Arial"/>
        </w:rPr>
      </w:pPr>
      <w:r>
        <w:rPr>
          <w:rFonts w:cs="Arial" w:ascii="Arial" w:hAnsi="Arial"/>
        </w:rPr>
        <w:t>By:</w:t>
        <w:tab/>
        <w:t>___________________________</w:t>
        <w:tab/>
        <w:tab/>
        <w:t>By:</w:t>
        <w:tab/>
        <w:t>___________________________</w:t>
      </w:r>
    </w:p>
    <w:p>
      <w:pPr>
        <w:pStyle w:val="Normal"/>
        <w:ind w:end="409"/>
        <w:rPr>
          <w:rFonts w:ascii="Arial" w:hAnsi="Arial" w:cs="Arial"/>
        </w:rPr>
      </w:pPr>
      <w:r>
        <w:rPr>
          <w:rFonts w:cs="Arial" w:ascii="Arial" w:hAnsi="Arial"/>
        </w:rPr>
      </w:r>
    </w:p>
    <w:p>
      <w:pPr>
        <w:pStyle w:val="Normal"/>
        <w:ind w:end="409"/>
        <w:rPr>
          <w:rFonts w:ascii="Arial" w:hAnsi="Arial" w:cs="Arial"/>
        </w:rPr>
      </w:pPr>
      <w:r>
        <w:rPr>
          <w:rFonts w:cs="Arial" w:ascii="Arial" w:hAnsi="Arial"/>
        </w:rPr>
        <w:t>Name:</w:t>
        <w:tab/>
        <w:t>___________________________</w:t>
        <w:tab/>
        <w:tab/>
        <w:t>Name:</w:t>
        <w:tab/>
        <w:t>___________________________</w:t>
      </w:r>
    </w:p>
    <w:p>
      <w:pPr>
        <w:pStyle w:val="Normal"/>
        <w:ind w:end="409"/>
        <w:rPr>
          <w:rFonts w:ascii="Arial" w:hAnsi="Arial" w:cs="Arial"/>
        </w:rPr>
      </w:pPr>
      <w:r>
        <w:rPr>
          <w:rFonts w:cs="Arial" w:ascii="Arial" w:hAnsi="Arial"/>
        </w:rPr>
      </w:r>
    </w:p>
    <w:p>
      <w:pPr>
        <w:pStyle w:val="Normal"/>
        <w:ind w:end="409"/>
        <w:rPr>
          <w:rFonts w:ascii="Arial" w:hAnsi="Arial" w:cs="Arial"/>
        </w:rPr>
      </w:pPr>
      <w:r>
        <w:rPr>
          <w:rFonts w:cs="Arial" w:ascii="Arial" w:hAnsi="Arial"/>
        </w:rPr>
        <w:t>Title:</w:t>
        <w:tab/>
        <w:t>___________________________</w:t>
        <w:tab/>
        <w:tab/>
        <w:t>Title:</w:t>
        <w:tab/>
        <w:t>___________________________</w:t>
      </w:r>
    </w:p>
    <w:p>
      <w:pPr>
        <w:pStyle w:val="Normal"/>
        <w:ind w:end="409"/>
        <w:rPr>
          <w:rFonts w:ascii="Arial" w:hAnsi="Arial" w:cs="Arial"/>
        </w:rPr>
      </w:pPr>
      <w:r>
        <w:rPr>
          <w:rFonts w:cs="Arial" w:ascii="Arial" w:hAnsi="Arial"/>
        </w:rPr>
        <w:tab/>
      </w:r>
    </w:p>
    <w:p>
      <w:pPr>
        <w:pStyle w:val="Normal"/>
        <w:ind w:end="409"/>
        <w:jc w:val="both"/>
        <w:rPr>
          <w:rFonts w:ascii="Arial" w:hAnsi="Arial" w:cs="Arial"/>
          <w:b/>
        </w:rPr>
      </w:pPr>
      <w:r>
        <w:rPr>
          <w:rFonts w:cs="Arial" w:ascii="Arial" w:hAnsi="Arial"/>
        </w:rPr>
        <w:t>Date:</w:t>
        <w:tab/>
        <w:t>___________________________</w:t>
        <w:tab/>
        <w:tab/>
        <w:t>Date:</w:t>
        <w:tab/>
        <w:t>___________________________</w:t>
      </w:r>
    </w:p>
    <w:p>
      <w:pPr>
        <w:sectPr>
          <w:headerReference w:type="default" r:id="rId4"/>
          <w:footerReference w:type="default" r:id="rId5"/>
          <w:type w:val="nextPage"/>
          <w:pgSz w:w="11906" w:h="16838"/>
          <w:pgMar w:left="990" w:right="1418" w:gutter="0" w:header="720" w:top="1440" w:footer="720" w:bottom="1361"/>
          <w:pgNumType w:fmt="decimal"/>
          <w:formProt w:val="false"/>
          <w:textDirection w:val="lrTb"/>
          <w:docGrid w:type="default" w:linePitch="360" w:charSpace="0"/>
        </w:sectPr>
      </w:pPr>
    </w:p>
    <w:p>
      <w:pPr>
        <w:pStyle w:val="Subtitle"/>
        <w:tabs>
          <w:tab w:val="clear" w:pos="720"/>
          <w:tab w:val="left" w:pos="1260" w:leader="none"/>
        </w:tabs>
        <w:jc w:val="start"/>
        <w:rPr>
          <w:rFonts w:ascii="Univers" w:hAnsi="Univers" w:cs="Univers"/>
          <w:sz w:val="18"/>
        </w:rPr>
      </w:pPr>
      <w:r>
        <w:rPr>
          <w:rFonts w:cs="Univers" w:ascii="Univers" w:hAnsi="Univers"/>
          <w:sz w:val="18"/>
        </w:rPr>
        <w:t>Contract No.</w:t>
        <w:tab/>
        <w:t>_____________________</w:t>
        <w:tab/>
        <w:tab/>
        <w:tab/>
        <w:tab/>
        <w:t>REUTERS AMERICA INC.</w:t>
      </w:r>
    </w:p>
    <w:p>
      <w:pPr>
        <w:pStyle w:val="Heading9"/>
        <w:tabs>
          <w:tab w:val="clear" w:pos="5220"/>
          <w:tab w:val="left" w:pos="1260" w:leader="none"/>
        </w:tabs>
        <w:ind w:hanging="0" w:end="0"/>
        <w:rPr/>
      </w:pPr>
      <w:r>
        <w:rPr/>
        <w:t>Distributor</w:t>
        <w:tab/>
      </w:r>
      <w:r>
        <w:rPr>
          <w:b w:val="false"/>
          <w:u w:val="single"/>
        </w:rPr>
        <w:t xml:space="preserve">   </w:t>
      </w:r>
      <w:r>
        <w:rPr>
          <w:u w:val="single"/>
        </w:rPr>
        <w:t xml:space="preserve">Enron Corp.             </w:t>
      </w:r>
      <w:r>
        <w:rPr/>
        <w:tab/>
        <w:tab/>
        <w:tab/>
        <w:tab/>
        <w:t>INTERNET SERVICES AGREEMENT</w:t>
      </w:r>
    </w:p>
    <w:p>
      <w:pPr>
        <w:pStyle w:val="Subtitle"/>
        <w:tabs>
          <w:tab w:val="clear" w:pos="720"/>
          <w:tab w:val="left" w:pos="1260" w:leader="none"/>
        </w:tabs>
        <w:jc w:val="start"/>
        <w:rPr>
          <w:rFonts w:ascii="Univers" w:hAnsi="Univers" w:cs="Univers"/>
          <w:sz w:val="20"/>
        </w:rPr>
      </w:pPr>
      <w:r>
        <w:rPr>
          <w:rFonts w:cs="Univers" w:ascii="Univers" w:hAnsi="Univers"/>
          <w:sz w:val="18"/>
        </w:rPr>
        <w:tab/>
        <w:tab/>
        <w:tab/>
        <w:tab/>
        <w:tab/>
        <w:tab/>
        <w:tab/>
        <w:tab/>
        <w:t>REUTERS INVESTOR FEE SCHEDULE</w:t>
      </w:r>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18"/>
        </w:rPr>
      </w:pPr>
      <w:r>
        <w:rPr>
          <w:rFonts w:cs="Univers" w:ascii="Univers" w:hAnsi="Univers"/>
          <w:sz w:val="18"/>
        </w:rPr>
        <w:t>All capitalized terms not defined herein shall have the meanings set forth in the Order Form and the Terms &amp; Conditions.</w:t>
      </w:r>
    </w:p>
    <w:p>
      <w:pPr>
        <w:pStyle w:val="Normal"/>
        <w:jc w:val="both"/>
        <w:rPr>
          <w:rFonts w:ascii="Univers" w:hAnsi="Univers" w:cs="Univers"/>
          <w:sz w:val="18"/>
        </w:rPr>
      </w:pPr>
      <w:r>
        <w:rPr>
          <w:rFonts w:cs="Univers" w:ascii="Univers" w:hAnsi="Univers"/>
          <w:sz w:val="18"/>
        </w:rPr>
      </w:r>
    </w:p>
    <w:p>
      <w:pPr>
        <w:pStyle w:val="Normal"/>
        <w:ind w:end="-19"/>
        <w:jc w:val="both"/>
        <w:rPr/>
      </w:pPr>
      <w:r>
        <w:rPr>
          <w:rFonts w:cs="Univers" w:ascii="Univers" w:hAnsi="Univers"/>
          <w:b/>
          <w:sz w:val="18"/>
        </w:rPr>
        <w:t xml:space="preserve">1.  </w:t>
      </w:r>
      <w:r>
        <w:rPr>
          <w:rFonts w:cs="Univers" w:ascii="Univers" w:hAnsi="Univers"/>
          <w:b/>
          <w:sz w:val="18"/>
          <w:u w:val="single"/>
        </w:rPr>
        <w:t>Fees.</w:t>
      </w:r>
      <w:r>
        <w:rPr>
          <w:rFonts w:cs="Univers" w:ascii="Univers" w:hAnsi="Univers"/>
          <w:sz w:val="18"/>
        </w:rPr>
        <w:t xml:space="preserve">  Distributor shall pay to Reuters the Base Service Fees, CPM Fees, User Fees and Additional Fees.</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Example:  If there are 10,000,000 Page Views of the Reuters Content on Distributor’s Internet Service in a calendar month, Distributor shall pay a Base Service Fee of $5,000 per month plus a CPM Fee of $9000 (reflecting 4,500,000 Page Views above the 5,500,000 Page Views included in the Base Service Fee, priced at $2 per thousand Page Views) plus any Additional Fees.</w:t>
      </w:r>
    </w:p>
    <w:p>
      <w:pPr>
        <w:pStyle w:val="Normal"/>
        <w:ind w:end="-19"/>
        <w:jc w:val="both"/>
        <w:rPr>
          <w:rFonts w:ascii="Univers" w:hAnsi="Univers" w:cs="Univers"/>
          <w:b/>
          <w:sz w:val="18"/>
        </w:rPr>
      </w:pPr>
      <w:r>
        <w:rPr>
          <w:rFonts w:cs="Univers" w:ascii="Univers" w:hAnsi="Univers"/>
          <w:b/>
          <w:sz w:val="18"/>
        </w:rPr>
      </w:r>
    </w:p>
    <w:p>
      <w:pPr>
        <w:pStyle w:val="Normal"/>
        <w:ind w:end="-19"/>
        <w:jc w:val="both"/>
        <w:rPr>
          <w:rFonts w:ascii="Univers" w:hAnsi="Univers" w:cs="Univers"/>
          <w:color w:val="FF0000"/>
          <w:sz w:val="18"/>
        </w:rPr>
      </w:pPr>
      <w:r>
        <w:rPr>
          <w:rFonts w:cs="Univers" w:ascii="Univers" w:hAnsi="Univers"/>
          <w:b/>
          <w:color w:val="FF0000"/>
          <w:sz w:val="18"/>
        </w:rPr>
        <w:t xml:space="preserve">THE PARTIES ACKNOWLEDGE AND AGREE THAT DURING THE INITIAL 12 MONTHS OF THE INITIAL TERM (i.e., THE 12 MONTHS FOLLOWING THE INITIAL BILLING DATE), THE CPM FEE WILL BE WAIVED; </w:t>
      </w:r>
      <w:r>
        <w:rPr>
          <w:rFonts w:cs="Univers" w:ascii="Univers" w:hAnsi="Univers"/>
          <w:b/>
          <w:color w:val="FF0000"/>
          <w:sz w:val="18"/>
          <w:u w:val="single"/>
        </w:rPr>
        <w:t>PROVIDED, HOWEVER</w:t>
      </w:r>
      <w:r>
        <w:rPr>
          <w:rFonts w:cs="Univers" w:ascii="Univers" w:hAnsi="Univers"/>
          <w:b/>
          <w:color w:val="FF0000"/>
          <w:sz w:val="18"/>
        </w:rPr>
        <w:t>, THAT IF DURING SUCH INITIAL 12 MONTH PERIOD THE AGGREGATE NUMBER OF PAGE VIEWS EXCEEDS 5,500,000, DISTRIBUTOR SHALL PAY A CPM FEE OF $2.00/CPM FOR ALL PAGE VIEWS ABOVE 5,500,000.</w:t>
      </w:r>
    </w:p>
    <w:p>
      <w:pPr>
        <w:pStyle w:val="Normal"/>
        <w:ind w:end="-19"/>
        <w:jc w:val="both"/>
        <w:rPr>
          <w:rFonts w:ascii="Univers" w:hAnsi="Univers" w:cs="Univers"/>
          <w:color w:val="FF0000"/>
          <w:sz w:val="18"/>
        </w:rPr>
      </w:pPr>
      <w:r>
        <w:rPr>
          <w:rFonts w:cs="Univers" w:ascii="Univers" w:hAnsi="Univers"/>
          <w:color w:val="FF0000"/>
          <w:sz w:val="18"/>
        </w:rPr>
      </w:r>
    </w:p>
    <w:p>
      <w:pPr>
        <w:pStyle w:val="BodyTextIndent"/>
        <w:ind w:start="0" w:end="0"/>
        <w:jc w:val="both"/>
        <w:rPr/>
      </w:pPr>
      <w:r>
        <w:rPr>
          <w:rFonts w:cs="Univers" w:ascii="Univers" w:hAnsi="Univers"/>
          <w:b/>
          <w:sz w:val="18"/>
        </w:rPr>
        <w:t>“</w:t>
      </w:r>
      <w:r>
        <w:rPr>
          <w:rFonts w:cs="Univers" w:ascii="Univers" w:hAnsi="Univers"/>
          <w:b/>
          <w:sz w:val="18"/>
        </w:rPr>
        <w:t xml:space="preserve">Additional Fees” </w:t>
      </w:r>
      <w:r>
        <w:rPr>
          <w:rFonts w:cs="Univers" w:ascii="Univers" w:hAnsi="Univers"/>
          <w:sz w:val="18"/>
        </w:rPr>
        <w:t>means the additional fees set out in the Order Form.</w:t>
      </w:r>
    </w:p>
    <w:p>
      <w:pPr>
        <w:pStyle w:val="Normal"/>
        <w:ind w:end="-19"/>
        <w:jc w:val="both"/>
        <w:rPr/>
      </w:pPr>
      <w:r>
        <w:rPr>
          <w:rFonts w:cs="Univers" w:ascii="Univers" w:hAnsi="Univers"/>
          <w:b/>
          <w:sz w:val="18"/>
        </w:rPr>
        <w:t>“</w:t>
      </w:r>
      <w:r>
        <w:rPr>
          <w:rFonts w:cs="Univers" w:ascii="Univers" w:hAnsi="Univers"/>
          <w:b/>
          <w:sz w:val="18"/>
        </w:rPr>
        <w:t xml:space="preserve">CPM” </w:t>
      </w:r>
      <w:r>
        <w:rPr>
          <w:rFonts w:cs="Univers" w:ascii="Univers" w:hAnsi="Univers"/>
          <w:sz w:val="18"/>
        </w:rPr>
        <w:t>means cost (in US$) per thousand (1000) Page Views of any Reuters Qualifying Page.</w:t>
      </w:r>
    </w:p>
    <w:p>
      <w:pPr>
        <w:pStyle w:val="Normal"/>
        <w:ind w:end="-19"/>
        <w:jc w:val="both"/>
        <w:rPr/>
      </w:pPr>
      <w:r>
        <w:rPr>
          <w:rFonts w:cs="Univers" w:ascii="Univers" w:hAnsi="Univers"/>
          <w:b/>
          <w:sz w:val="18"/>
        </w:rPr>
        <w:t>“</w:t>
      </w:r>
      <w:r>
        <w:rPr>
          <w:rFonts w:cs="Univers" w:ascii="Univers" w:hAnsi="Univers"/>
          <w:b/>
          <w:sz w:val="18"/>
        </w:rPr>
        <w:t xml:space="preserve">CPM Fee” </w:t>
      </w:r>
      <w:r>
        <w:rPr>
          <w:rFonts w:cs="Univers" w:ascii="Univers" w:hAnsi="Univers"/>
          <w:sz w:val="18"/>
        </w:rPr>
        <w:t xml:space="preserve">means the fee, in addition to the Base Service Fee, that the Distributor shall pay to Reuters and includes, as appropriate, the following fees: </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Delayed Quotes distribution fee</w:t>
      </w:r>
      <w:r>
        <w:rPr>
          <w:rFonts w:cs="Univers" w:ascii="Univers" w:hAnsi="Univers"/>
          <w:sz w:val="18"/>
        </w:rPr>
        <w:t>: if the Distributor is taking Delayed Quotes through the RI Market Data API, Page Views will be charged at the CPM rate specified in the Order Form.</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News distribution fee</w:t>
      </w:r>
      <w:r>
        <w:rPr>
          <w:rFonts w:cs="Univers" w:ascii="Univers" w:hAnsi="Univers"/>
          <w:sz w:val="18"/>
        </w:rPr>
        <w:t>: if the Distributor is taking News in the Reuters Investor Service, Page Views shall be charged at the CPM rate specified in the Order Form.</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Real-time Quotes distribution fee</w:t>
      </w:r>
      <w:r>
        <w:rPr>
          <w:rFonts w:cs="Univers" w:ascii="Univers" w:hAnsi="Univers"/>
          <w:sz w:val="18"/>
        </w:rPr>
        <w:t>: if the Distributor is taking Real-time Quotes in the Reuters Service, Page Views shall be charged at the CPM rate specified in the Order Form.</w:t>
      </w:r>
    </w:p>
    <w:p>
      <w:pPr>
        <w:pStyle w:val="Normal"/>
        <w:ind w:end="-19"/>
        <w:jc w:val="both"/>
        <w:rPr/>
      </w:pPr>
      <w:r>
        <w:rPr>
          <w:rFonts w:cs="Univers" w:ascii="Univers" w:hAnsi="Univers"/>
          <w:b/>
          <w:sz w:val="18"/>
        </w:rPr>
        <w:t>“</w:t>
      </w:r>
      <w:r>
        <w:rPr>
          <w:rFonts w:cs="Univers" w:ascii="Univers" w:hAnsi="Univers"/>
          <w:b/>
          <w:sz w:val="18"/>
        </w:rPr>
        <w:t>Page View”</w:t>
      </w:r>
      <w:r>
        <w:rPr>
          <w:rFonts w:cs="Univers" w:ascii="Univers" w:hAnsi="Univers"/>
          <w:sz w:val="18"/>
        </w:rPr>
        <w:t xml:space="preserve"> means every single request from a subscriber to retrieve the Reuters Service, as appropriate, (i) a collection of News Headlines (e.g. GLANCE-G): (ii) a full News story or a market report (e.g. N&lt;fa&gt;): (iii) a full Quote (whether Delayed or Real-time)(e.g. RTR.L): (iv) a Quote Chain (whether Delayed or Real-time) (index/industry constituents) (e.g. FTSE&lt;F3&gt;): (v) a RIC Search or a Time Series (Charts).</w:t>
      </w:r>
    </w:p>
    <w:p>
      <w:pPr>
        <w:pStyle w:val="Normal"/>
        <w:ind w:end="-19"/>
        <w:jc w:val="both"/>
        <w:rPr/>
      </w:pPr>
      <w:r>
        <w:rPr>
          <w:rFonts w:cs="Univers" w:ascii="Univers" w:hAnsi="Univers"/>
          <w:b/>
          <w:sz w:val="18"/>
        </w:rPr>
        <w:t>“</w:t>
      </w:r>
      <w:r>
        <w:rPr>
          <w:rFonts w:cs="Univers" w:ascii="Univers" w:hAnsi="Univers"/>
          <w:b/>
          <w:sz w:val="18"/>
        </w:rPr>
        <w:t>Reuters Qualifying Page”</w:t>
      </w:r>
      <w:r>
        <w:rPr>
          <w:rFonts w:cs="Univers" w:ascii="Univers" w:hAnsi="Univers"/>
          <w:sz w:val="18"/>
        </w:rPr>
        <w:t xml:space="preserve"> means any page that contains any Reuters Content.</w:t>
      </w:r>
    </w:p>
    <w:p>
      <w:pPr>
        <w:pStyle w:val="Normal"/>
        <w:ind w:end="-19"/>
        <w:jc w:val="both"/>
        <w:rPr/>
      </w:pPr>
      <w:r>
        <w:rPr>
          <w:rFonts w:cs="Univers" w:ascii="Univers" w:hAnsi="Univers"/>
          <w:b/>
          <w:sz w:val="18"/>
        </w:rPr>
        <w:t>“</w:t>
      </w:r>
      <w:r>
        <w:rPr>
          <w:rFonts w:cs="Univers" w:ascii="Univers" w:hAnsi="Univers"/>
          <w:b/>
          <w:sz w:val="18"/>
        </w:rPr>
        <w:t>Users”</w:t>
      </w:r>
      <w:r>
        <w:rPr>
          <w:rFonts w:cs="Univers" w:ascii="Univers" w:hAnsi="Univers"/>
          <w:sz w:val="18"/>
        </w:rPr>
        <w:t xml:space="preserve"> means each individual who accesses the Reuters Content via the Distributor’s Internet Service.</w:t>
      </w:r>
    </w:p>
    <w:p>
      <w:pPr>
        <w:pStyle w:val="Normal"/>
        <w:ind w:end="-19"/>
        <w:jc w:val="both"/>
        <w:rPr/>
      </w:pPr>
      <w:r>
        <w:rPr>
          <w:rFonts w:cs="Univers" w:ascii="Univers" w:hAnsi="Univers"/>
          <w:b/>
          <w:sz w:val="18"/>
        </w:rPr>
        <w:t>“</w:t>
      </w:r>
      <w:r>
        <w:rPr>
          <w:rFonts w:cs="Univers" w:ascii="Univers" w:hAnsi="Univers"/>
          <w:b/>
          <w:sz w:val="18"/>
        </w:rPr>
        <w:t>User Fee”</w:t>
      </w:r>
      <w:r>
        <w:rPr>
          <w:rFonts w:cs="Univers" w:ascii="Univers" w:hAnsi="Univers"/>
          <w:sz w:val="18"/>
        </w:rPr>
        <w:t xml:space="preserve"> means the fee the Distributor shall pay to Reuters calculated on the basis of the number of Users per month as specified in the Order Form.</w:t>
      </w:r>
    </w:p>
    <w:p>
      <w:pPr>
        <w:pStyle w:val="Normal"/>
        <w:ind w:end="-19"/>
        <w:jc w:val="both"/>
        <w:rPr>
          <w:rFonts w:ascii="Univers" w:hAnsi="Univers" w:cs="Univers"/>
          <w:sz w:val="18"/>
        </w:rPr>
      </w:pPr>
      <w:r>
        <w:rPr>
          <w:rFonts w:cs="Univers" w:ascii="Univers" w:hAnsi="Univers"/>
          <w:sz w:val="18"/>
        </w:rPr>
        <w:tab/>
        <w:tab/>
        <w:tab/>
        <w:tab/>
        <w:tab/>
        <w:tab/>
        <w:tab/>
      </w:r>
    </w:p>
    <w:p>
      <w:pPr>
        <w:pStyle w:val="Normal"/>
        <w:ind w:end="-19"/>
        <w:jc w:val="both"/>
        <w:rPr/>
      </w:pPr>
      <w:r>
        <w:rPr>
          <w:rFonts w:cs="Univers" w:ascii="Univers" w:hAnsi="Univers"/>
          <w:b/>
          <w:sz w:val="18"/>
        </w:rPr>
        <w:t xml:space="preserve">2. </w:t>
      </w:r>
      <w:r>
        <w:rPr>
          <w:rFonts w:cs="Univers" w:ascii="Univers" w:hAnsi="Univers"/>
          <w:b/>
          <w:sz w:val="18"/>
          <w:u w:val="single"/>
        </w:rPr>
        <w:t>Reporting.</w:t>
      </w:r>
      <w:r>
        <w:rPr>
          <w:rFonts w:cs="Univers" w:ascii="Univers" w:hAnsi="Univers"/>
          <w:sz w:val="18"/>
        </w:rPr>
        <w:t xml:space="preserve">  Distributor shall keep such books and records as are necessary to verify the amounts owed to Reuters under the Order Form.  Distributor will provide with each payment to Reuters a report, signed by an authorized representative of Distributor, setting forth the manner in which the payment was calculated, including, as appropriate, the Page View declarations and/or User declaration for the prior month (described below), and the information required under Section 10.5 of the Terms and Conditions.</w:t>
      </w:r>
    </w:p>
    <w:p>
      <w:pPr>
        <w:pStyle w:val="Normal"/>
        <w:ind w:end="-19"/>
        <w:jc w:val="both"/>
        <w:rPr>
          <w:rFonts w:ascii="Univers" w:hAnsi="Univers" w:cs="Univers"/>
          <w:sz w:val="18"/>
        </w:rPr>
      </w:pPr>
      <w:r>
        <w:rPr>
          <w:rFonts w:cs="Univers" w:ascii="Univers" w:hAnsi="Univers"/>
          <w:sz w:val="18"/>
        </w:rPr>
      </w:r>
    </w:p>
    <w:p>
      <w:pPr>
        <w:pStyle w:val="Normal"/>
        <w:ind w:start="360" w:end="-19"/>
        <w:jc w:val="both"/>
        <w:rPr>
          <w:rFonts w:ascii="Univers" w:hAnsi="Univers" w:cs="Univers"/>
          <w:sz w:val="18"/>
        </w:rPr>
      </w:pPr>
      <w:r>
        <w:rPr>
          <w:rFonts w:cs="Univers" w:ascii="Univers" w:hAnsi="Univers"/>
          <w:sz w:val="18"/>
        </w:rPr>
        <w:t>As indicated on the Order Form, where Distributor is making the Reuters Content available as part of the Distributor’s Internet Service:</w:t>
      </w:r>
    </w:p>
    <w:p>
      <w:pPr>
        <w:pStyle w:val="Normal"/>
        <w:ind w:start="360" w:end="-19"/>
        <w:jc w:val="both"/>
        <w:rPr>
          <w:rFonts w:ascii="Univers" w:hAnsi="Univers" w:cs="Univers"/>
          <w:b/>
          <w:sz w:val="18"/>
        </w:rPr>
      </w:pPr>
      <w:r>
        <w:rPr>
          <w:rFonts w:cs="Univers" w:ascii="Univers" w:hAnsi="Univers"/>
          <w:b/>
          <w:sz w:val="18"/>
        </w:rPr>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solely to a closed user group, Distributor will report to Reuters within 10 days after the 1</w:t>
      </w:r>
      <w:r>
        <w:rPr>
          <w:rFonts w:cs="Univers" w:ascii="Univers" w:hAnsi="Univers"/>
          <w:sz w:val="18"/>
          <w:vertAlign w:val="superscript"/>
        </w:rPr>
        <w:t>st</w:t>
      </w:r>
      <w:r>
        <w:rPr>
          <w:rFonts w:cs="Univers" w:ascii="Univers" w:hAnsi="Univers"/>
          <w:sz w:val="18"/>
        </w:rPr>
        <w:t xml:space="preserve"> day of each month with EITHER the aggregate number of Users to the Distributor’s Internet Service OR with the number of Page Views retrieved by Users the previous month, and specifically provide a breakdown of, as appropriate, the number of Delayed Quotes Page Views, News Page Views and Real-time Quotes Page Views; or </w:t>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solely to a public site, Distributor will report to Reuters within 10 days after the 1</w:t>
      </w:r>
      <w:r>
        <w:rPr>
          <w:rFonts w:cs="Univers" w:ascii="Univers" w:hAnsi="Univers"/>
          <w:sz w:val="18"/>
          <w:vertAlign w:val="superscript"/>
        </w:rPr>
        <w:t>st</w:t>
      </w:r>
      <w:r>
        <w:rPr>
          <w:rFonts w:cs="Univers" w:ascii="Univers" w:hAnsi="Univers"/>
          <w:sz w:val="18"/>
        </w:rPr>
        <w:t xml:space="preserve"> day of each month with the number of Page Views retrieved by Users the previous month, and specifically provide a breakdown as appropriate, of the number of Delayed Quotes Page Views, News Page Views and Real-time Quotes Page Views; or</w:t>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to a closed user group and a public site, Distributor will report to Reuters within 10 days after the 1</w:t>
      </w:r>
      <w:r>
        <w:rPr>
          <w:rFonts w:cs="Univers" w:ascii="Univers" w:hAnsi="Univers"/>
          <w:sz w:val="18"/>
          <w:vertAlign w:val="superscript"/>
        </w:rPr>
        <w:t>st</w:t>
      </w:r>
      <w:r>
        <w:rPr>
          <w:rFonts w:cs="Univers" w:ascii="Univers" w:hAnsi="Univers"/>
          <w:sz w:val="18"/>
        </w:rPr>
        <w:t xml:space="preserve"> day of each month with all reports specified in (i) and (ii) above.</w:t>
      </w:r>
    </w:p>
    <w:p>
      <w:pPr>
        <w:pStyle w:val="Normal"/>
        <w:ind w:start="360" w:end="-19"/>
        <w:jc w:val="both"/>
        <w:rPr>
          <w:rFonts w:ascii="Univers" w:hAnsi="Univers" w:cs="Univers"/>
          <w:sz w:val="18"/>
        </w:rPr>
      </w:pPr>
      <w:r>
        <w:rPr>
          <w:rFonts w:cs="Univers" w:ascii="Univers" w:hAnsi="Univers"/>
          <w:sz w:val="18"/>
        </w:rPr>
      </w:r>
    </w:p>
    <w:p>
      <w:pPr>
        <w:pStyle w:val="BlockText"/>
        <w:rPr>
          <w:rFonts w:ascii="Univers" w:hAnsi="Univers" w:cs="Univers"/>
        </w:rPr>
      </w:pPr>
      <w:r>
        <w:rPr>
          <w:rFonts w:cs="Univers" w:ascii="Univers" w:hAnsi="Univers"/>
        </w:rPr>
        <w:t>If the Reuters Service is delivered via the RI Market Data API and Distributor does not cache any Content on its Site (see Section 10.5 of the Terms &amp; Conditions) Distributor, rather than submitting a Page View declaration report, must declare each month in such report that it has not Cached any Content.  In such circumstances Reuters will report on the first working day of each month to Distributor the number of Page Views retrieved by the Distributor from the RI Market Data API. This shall not affect any report required listing the number of Page Views.</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Reuters will invoice the Distributor quarterly in arrears on the basis of the reported Page Views or Users declaration, or Reuters report as appropriate.</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Distributor must supply proof to Reuters that administration systems are in place to count the Page Views and Users, as appropriate.  Distributor’s administration system must have an audit trail and data needs to be stored for a minimum period of six (6) months.</w:t>
      </w:r>
    </w:p>
    <w:p>
      <w:pPr>
        <w:pStyle w:val="Normal"/>
        <w:ind w:end="-19"/>
        <w:jc w:val="both"/>
        <w:rPr>
          <w:rFonts w:ascii="Univers" w:hAnsi="Univers" w:cs="Univers"/>
          <w:sz w:val="18"/>
        </w:rPr>
      </w:pPr>
      <w:r>
        <w:rPr>
          <w:rFonts w:cs="Univers" w:ascii="Univers" w:hAnsi="Univers"/>
          <w:sz w:val="18"/>
        </w:rPr>
      </w:r>
    </w:p>
    <w:p>
      <w:pPr>
        <w:pStyle w:val="Normal"/>
        <w:ind w:end="-19"/>
        <w:jc w:val="both"/>
        <w:rPr>
          <w:b/>
          <w:sz w:val="22"/>
        </w:rPr>
      </w:pPr>
      <w:r>
        <w:rPr>
          <w:rFonts w:cs="Univers" w:ascii="Univers" w:hAnsi="Univers"/>
          <w:b/>
          <w:sz w:val="18"/>
        </w:rPr>
        <w:t xml:space="preserve">3. </w:t>
      </w:r>
      <w:r>
        <w:rPr>
          <w:rFonts w:cs="Univers" w:ascii="Univers" w:hAnsi="Univers"/>
          <w:b/>
          <w:sz w:val="18"/>
          <w:u w:val="single"/>
        </w:rPr>
        <w:t>Audit Rights</w:t>
      </w:r>
      <w:r>
        <w:rPr>
          <w:rFonts w:cs="Univers" w:ascii="Univers" w:hAnsi="Univers"/>
          <w:sz w:val="18"/>
        </w:rPr>
        <w:t>. The audit rights outlined in the Fee Schedule (Per User Royalty) to the Agreement are incorporated by reference into this Reuters Investor Fee Schedule and shall apply equally to the Reuters Services described in the Order Form.</w:t>
      </w:r>
    </w:p>
    <w:p>
      <w:pPr>
        <w:pStyle w:val="Normal"/>
        <w:ind w:end="-19"/>
        <w:rPr>
          <w:rFonts w:ascii="Univers" w:hAnsi="Univers" w:cs="Univers"/>
          <w:b/>
          <w:sz w:val="16"/>
        </w:rPr>
      </w:pPr>
      <w:r>
        <w:rPr>
          <w:rFonts w:cs="Univers" w:ascii="Univers" w:hAnsi="Univers"/>
          <w:b/>
          <w:sz w:val="16"/>
        </w:rPr>
      </w:r>
    </w:p>
    <w:p>
      <w:pPr>
        <w:pStyle w:val="Normal"/>
        <w:ind w:end="-19"/>
        <w:rPr>
          <w:rFonts w:ascii="Univers" w:hAnsi="Univers" w:cs="Univers"/>
          <w:sz w:val="16"/>
        </w:rPr>
      </w:pPr>
      <w:r>
        <w:rPr>
          <w:rFonts w:cs="Univers" w:ascii="Univers" w:hAnsi="Univers"/>
          <w:sz w:val="16"/>
        </w:rPr>
      </w:r>
    </w:p>
    <w:p>
      <w:pPr>
        <w:pStyle w:val="Normal"/>
        <w:ind w:end="-19"/>
        <w:rPr>
          <w:rFonts w:ascii="Univers" w:hAnsi="Univers" w:cs="Univers"/>
          <w:sz w:val="16"/>
        </w:rPr>
      </w:pPr>
      <w:r>
        <w:rPr>
          <w:rFonts w:eastAsia="Univers" w:cs="Univers" w:ascii="Univers" w:hAnsi="Univers"/>
          <w:sz w:val="16"/>
        </w:rPr>
        <w:t xml:space="preserve"> </w:t>
      </w:r>
      <w:r>
        <w:rPr>
          <w:rFonts w:cs="Univers" w:ascii="Univers" w:hAnsi="Univers"/>
          <w:sz w:val="16"/>
        </w:rPr>
        <w:tab/>
        <w:tab/>
        <w:tab/>
        <w:tab/>
        <w:tab/>
        <w:tab/>
        <w:tab/>
        <w:tab/>
        <w:tab/>
        <w:tab/>
        <w:t>________________</w:t>
      </w:r>
    </w:p>
    <w:p>
      <w:pPr>
        <w:pStyle w:val="Normal"/>
        <w:ind w:firstLine="720" w:start="6480" w:end="-19"/>
        <w:jc w:val="both"/>
        <w:rPr>
          <w:rFonts w:ascii="Univers" w:hAnsi="Univers" w:cs="Univers"/>
          <w:sz w:val="16"/>
        </w:rPr>
      </w:pPr>
      <w:r>
        <w:rPr>
          <w:rFonts w:cs="Univers" w:ascii="Univers" w:hAnsi="Univers"/>
          <w:sz w:val="16"/>
        </w:rPr>
        <w:t>DISTR. INITIALS</w:t>
      </w:r>
    </w:p>
    <w:p>
      <w:pPr>
        <w:pStyle w:val="Normal"/>
        <w:ind w:start="-426" w:end="-427"/>
        <w:jc w:val="both"/>
        <w:rPr/>
      </w:pPr>
      <w:r>
        <w:rPr/>
      </w:r>
    </w:p>
    <w:sectPr>
      <w:headerReference w:type="default" r:id="rId6"/>
      <w:headerReference w:type="first" r:id="rId7"/>
      <w:footerReference w:type="default" r:id="rId8"/>
      <w:footerReference w:type="first" r:id="rId9"/>
      <w:type w:val="nextPage"/>
      <w:pgSz w:w="11906" w:h="16838"/>
      <w:pgMar w:left="1418" w:right="1418" w:gutter="0" w:header="720" w:top="1440"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Monotype Sort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0" w:color="000000"/>
      </w:pBdr>
      <w:tabs>
        <w:tab w:val="clear" w:pos="8640"/>
        <w:tab w:val="center" w:pos="4320" w:leader="none"/>
        <w:tab w:val="right" w:pos="9090" w:leader="none"/>
      </w:tabs>
      <w:ind w:end="-567"/>
      <w:rPr>
        <w:rFonts w:ascii="Arial" w:hAnsi="Arial" w:cs="Arial"/>
      </w:rPr>
    </w:pPr>
    <w:r>
      <w:rPr>
        <w:rFonts w:cs="Arial" w:ascii="Arial" w:hAnsi="Arial"/>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0" w:color="000000"/>
      </w:pBdr>
      <w:tabs>
        <w:tab w:val="clear" w:pos="8640"/>
        <w:tab w:val="center" w:pos="4320" w:leader="none"/>
        <w:tab w:val="right" w:pos="9090" w:leader="none"/>
      </w:tabs>
      <w:ind w:end="-567"/>
      <w:rPr>
        <w:rFonts w:ascii="Arial" w:hAnsi="Arial" w:cs="Arial"/>
      </w:rPr>
    </w:pPr>
    <w:r>
      <w:rPr>
        <w:rFonts w:cs="Arial"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0" w:color="000000"/>
      </w:pBdr>
      <w:tabs>
        <w:tab w:val="clear" w:pos="8640"/>
        <w:tab w:val="center" w:pos="4320" w:leader="none"/>
        <w:tab w:val="right" w:pos="9090" w:leader="none"/>
      </w:tabs>
      <w:ind w:end="-567"/>
      <w:rPr>
        <w:rFonts w:ascii="Arial" w:hAnsi="Arial" w:cs="Arial"/>
      </w:rPr>
    </w:pPr>
    <w:r>
      <w:rPr>
        <w:rFonts w:cs="Arial" w:ascii="Arial" w:hAnsi="Arial"/>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90" w:leader="none"/>
      </w:tabs>
      <w:ind w:start="-284" w:end="0"/>
      <w:rPr>
        <w:rFonts w:ascii="Arial" w:hAnsi="Arial" w:cs="Arial"/>
        <w:b/>
        <w:sz w:val="28"/>
      </w:rPr>
    </w:pPr>
    <w:r>
      <w:object w:dxaOrig="3024" w:dyaOrig="75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0.5pt;margin-top:-7.2pt;width:151.2pt;height:37.8pt;mso-wrap-distance-left:9.05pt;mso-wrap-distance-right:9.05pt;mso-position-horizontal-relative:text;mso-position-vertical-relative:text" filled="f" o:ole="">
          <v:imagedata r:id="rId2" o:title=""/>
          <w10:wrap type="topAndBottom"/>
        </v:shape>
        <o:OLEObject Type="Embed" ProgID="" ShapeID="ole_rId1" DrawAspect="Content" ObjectID="_58124346" r:id="rId1"/>
      </w:object>
    </w:r>
    <w:r>
      <w:rPr>
        <w:rFonts w:cs="Arial" w:ascii="Arial" w:hAnsi="Arial"/>
        <w:b/>
        <w:sz w:val="28"/>
      </w:rPr>
      <w:tab/>
      <w:tab/>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540" w:leader="none"/>
      </w:tabs>
      <w:ind w:end="-180"/>
      <w:rPr>
        <w:rFonts w:ascii="Univers" w:hAnsi="Univers" w:cs="Univers"/>
        <w:b/>
      </w:rPr>
    </w:pPr>
    <w:r>
      <w:rPr>
        <w:b/>
      </w:rPr>
      <w:t>ORDER FORM (No. 2)</w:t>
      <w:tab/>
      <w:tab/>
    </w:r>
    <w:r>
      <w:rPr>
        <w:rFonts w:cs="Univers" w:ascii="Univers" w:hAnsi="Univers"/>
        <w:b/>
        <w:sz w:val="28"/>
      </w:rPr>
      <w:t>CONFIDENTIAL</w:t>
    </w:r>
  </w:p>
  <w:p>
    <w:pPr>
      <w:pStyle w:val="Header"/>
      <w:rPr/>
    </w:pPr>
    <w:r>
      <w:rPr>
        <w:b/>
      </w:rPr>
      <w:t xml:space="preserve">Page </w:t>
    </w:r>
    <w:r>
      <w:rPr>
        <w:b/>
      </w:rPr>
      <w:fldChar w:fldCharType="begin"/>
    </w:r>
    <w:r>
      <w:rPr>
        <w:b/>
      </w:rPr>
      <w:instrText xml:space="preserve"> PAGE </w:instrText>
    </w:r>
    <w:r>
      <w:rPr>
        <w:b/>
      </w:rPr>
      <w:fldChar w:fldCharType="separate"/>
    </w:r>
    <w:r>
      <w:rPr>
        <w:b/>
      </w:rPr>
      <w:t>4</w:t>
    </w:r>
    <w:r>
      <w:rPr>
        <w:b/>
      </w:rPr>
      <w:fldChar w:fldCharType="end"/>
    </w:r>
    <w:r>
      <w:rPr>
        <w:b/>
      </w:rPr>
      <w:t xml:space="preserve"> of 6</w:t>
    </w:r>
  </w:p>
  <w:p>
    <w:pPr>
      <w:pStyle w:val="Header"/>
      <w:rPr>
        <w:rFonts w:ascii="Arial" w:hAnsi="Arial" w:cs="Arial"/>
        <w:b/>
      </w:rPr>
    </w:pPr>
    <w:r>
      <w:rPr>
        <w:rFonts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540" w:leader="none"/>
      </w:tabs>
      <w:ind w:end="-180"/>
      <w:rPr/>
    </w:pPr>
    <w:r>
      <w:rPr>
        <w:b/>
      </w:rPr>
      <w:t>ORDER FORM (No. 2)</w:t>
      <w:tab/>
      <w:tab/>
    </w:r>
    <w:r>
      <w:rPr>
        <w:rFonts w:cs="Univers" w:ascii="Univers" w:hAnsi="Univers"/>
        <w:b/>
        <w:sz w:val="28"/>
      </w:rPr>
      <w:t>CONFIDENTIAL</w:t>
    </w:r>
  </w:p>
  <w:p>
    <w:pPr>
      <w:pStyle w:val="Header"/>
      <w:rPr/>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6</w:t>
    </w:r>
  </w:p>
  <w:p>
    <w:pPr>
      <w:pStyle w:val="Header"/>
      <w:rPr>
        <w:rFonts w:ascii="Arial" w:hAnsi="Arial" w:cs="Arial"/>
        <w:b/>
      </w:rPr>
    </w:pPr>
    <w:r>
      <w:rPr>
        <w:rFonts w:cs="Arial" w:ascii="Arial" w:hAnsi="Arial"/>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294"/>
        </w:tabs>
        <w:ind w:start="294"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FF"/>
      <w:sz w:val="16"/>
    </w:rPr>
  </w:style>
  <w:style w:type="paragraph" w:styleId="Heading5">
    <w:name w:val="heading 5"/>
    <w:basedOn w:val="Normal"/>
    <w:next w:val="Normal"/>
    <w:qFormat/>
    <w:pPr>
      <w:keepNext w:val="true"/>
      <w:numPr>
        <w:ilvl w:val="4"/>
        <w:numId w:val="1"/>
      </w:numPr>
      <w:jc w:val="center"/>
      <w:outlineLvl w:val="4"/>
    </w:pPr>
    <w:rPr>
      <w:rFonts w:ascii="Arial" w:hAnsi="Arial" w:cs="Arial"/>
      <w:b/>
      <w:sz w:val="16"/>
    </w:rPr>
  </w:style>
  <w:style w:type="paragraph" w:styleId="Heading6">
    <w:name w:val="heading 6"/>
    <w:basedOn w:val="Normal"/>
    <w:next w:val="Normal"/>
    <w:qFormat/>
    <w:pPr>
      <w:keepNext w:val="true"/>
      <w:numPr>
        <w:ilvl w:val="5"/>
        <w:numId w:val="1"/>
      </w:numPr>
      <w:jc w:val="center"/>
      <w:outlineLvl w:val="5"/>
    </w:pPr>
    <w:rPr>
      <w:rFonts w:ascii="Arial" w:hAnsi="Arial" w:cs="Arial"/>
      <w:b/>
      <w:sz w:val="18"/>
    </w:rPr>
  </w:style>
  <w:style w:type="paragraph" w:styleId="Heading7">
    <w:name w:val="heading 7"/>
    <w:basedOn w:val="Normal"/>
    <w:next w:val="Normal"/>
    <w:qFormat/>
    <w:pPr>
      <w:keepNext w:val="true"/>
      <w:numPr>
        <w:ilvl w:val="6"/>
        <w:numId w:val="1"/>
      </w:numPr>
      <w:outlineLvl w:val="6"/>
    </w:pPr>
    <w:rPr>
      <w:rFonts w:ascii="Arial" w:hAnsi="Arial" w:cs="Arial"/>
      <w:b/>
      <w:sz w:val="18"/>
    </w:rPr>
  </w:style>
  <w:style w:type="paragraph" w:styleId="Heading8">
    <w:name w:val="heading 8"/>
    <w:basedOn w:val="Normal"/>
    <w:next w:val="Normal"/>
    <w:qFormat/>
    <w:pPr>
      <w:keepNext w:val="true"/>
      <w:numPr>
        <w:ilvl w:val="7"/>
        <w:numId w:val="1"/>
      </w:numPr>
      <w:ind w:hanging="0" w:start="-426" w:end="-427"/>
      <w:jc w:val="both"/>
      <w:outlineLvl w:val="7"/>
    </w:pPr>
    <w:rPr>
      <w:rFonts w:ascii="Arial" w:hAnsi="Arial" w:cs="Arial"/>
      <w:b/>
      <w:sz w:val="18"/>
    </w:rPr>
  </w:style>
  <w:style w:type="paragraph" w:styleId="Heading9">
    <w:name w:val="heading 9"/>
    <w:basedOn w:val="Normal"/>
    <w:next w:val="Normal"/>
    <w:qFormat/>
    <w:pPr>
      <w:keepNext w:val="true"/>
      <w:numPr>
        <w:ilvl w:val="8"/>
        <w:numId w:val="1"/>
      </w:numPr>
      <w:tabs>
        <w:tab w:val="clear" w:pos="720"/>
        <w:tab w:val="left" w:pos="5220" w:leader="none"/>
      </w:tabs>
      <w:ind w:firstLine="720" w:start="0" w:end="0"/>
      <w:outlineLvl w:val="8"/>
    </w:pPr>
    <w:rPr>
      <w:rFonts w:ascii="Univers" w:hAnsi="Univers" w:cs="Univers"/>
      <w:b/>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rPr>
  </w:style>
  <w:style w:type="paragraph" w:styleId="BodyTextIndent2">
    <w:name w:val="Body Text Indent 2"/>
    <w:basedOn w:val="Normal"/>
    <w:qFormat/>
    <w:pPr>
      <w:ind w:hanging="0" w:start="-426" w:end="0"/>
    </w:pPr>
    <w:rPr>
      <w:rFonts w:ascii="Arial" w:hAnsi="Arial" w:cs="Arial"/>
      <w:b/>
      <w:color w:val="FF0000"/>
      <w:sz w:val="18"/>
    </w:rPr>
  </w:style>
  <w:style w:type="paragraph" w:styleId="BodyTextIndent3">
    <w:name w:val="Body Text Indent 3"/>
    <w:basedOn w:val="Normal"/>
    <w:qFormat/>
    <w:pPr>
      <w:ind w:hanging="0" w:start="-426" w:end="0"/>
    </w:pPr>
    <w:rPr>
      <w:rFonts w:ascii="Arial" w:hAnsi="Arial" w:cs="Arial"/>
      <w:i/>
      <w:color w:val="0000FF"/>
      <w:sz w:val="18"/>
    </w:rPr>
  </w:style>
  <w:style w:type="paragraph" w:styleId="Subtitle">
    <w:name w:val="Subtitle"/>
    <w:basedOn w:val="Normal"/>
    <w:next w:val="BodyText"/>
    <w:qFormat/>
    <w:pPr>
      <w:jc w:val="center"/>
    </w:pPr>
    <w:rPr>
      <w:b/>
      <w:sz w:val="24"/>
      <w:lang w:val="en-GB"/>
    </w:rPr>
  </w:style>
  <w:style w:type="paragraph" w:styleId="TableNo">
    <w:name w:val="TableNo"/>
    <w:basedOn w:val="BodyTextIndent"/>
    <w:qFormat/>
    <w:pPr>
      <w:tabs>
        <w:tab w:val="clear" w:pos="3828"/>
        <w:tab w:val="right" w:pos="1843" w:leader="none"/>
      </w:tabs>
      <w:ind w:hanging="0" w:start="567" w:end="0"/>
      <w:jc w:val="end"/>
    </w:pPr>
    <w:rPr>
      <w:sz w:val="16"/>
    </w:rPr>
  </w:style>
  <w:style w:type="paragraph" w:styleId="BodyText2">
    <w:name w:val="Body Text 2"/>
    <w:basedOn w:val="Normal"/>
    <w:qFormat/>
    <w:pPr>
      <w:jc w:val="both"/>
    </w:pPr>
    <w:rPr>
      <w:b/>
      <w:sz w:val="22"/>
      <w:lang w:eastAsia="en-CA"/>
    </w:rPr>
  </w:style>
  <w:style w:type="paragraph" w:styleId="BodyText3">
    <w:name w:val="Body Text 3"/>
    <w:basedOn w:val="Normal"/>
    <w:qFormat/>
    <w:pPr/>
    <w:rPr>
      <w:rFonts w:ascii="Arial" w:hAnsi="Arial" w:cs="Arial"/>
      <w:sz w:val="18"/>
    </w:rPr>
  </w:style>
  <w:style w:type="paragraph" w:styleId="BlockText">
    <w:name w:val="Block Text"/>
    <w:basedOn w:val="Normal"/>
    <w:qFormat/>
    <w:pPr>
      <w:ind w:hanging="0" w:start="360" w:end="-19"/>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2000-04-24T21:07:00Z</dcterms:created>
  <dc:creator>MAX</dc:creator>
  <dc:description>The Daredevil's Birthday falls on 15th of September. Don't Forget to wish him.</dc:description>
  <cp:keywords>Birthday</cp:keywords>
  <dc:language>en-CA</dc:language>
  <cp:lastModifiedBy>Stanford M. Lin</cp:lastModifiedBy>
  <cp:lastPrinted>2000-04-24T20:01:00Z</cp:lastPrinted>
  <dcterms:modified xsi:type="dcterms:W3CDTF">2000-04-24T21:33:00Z</dcterms:modified>
  <cp:revision>4</cp:revision>
  <dc:subject>Birthday </dc:subject>
  <dc:title>Contract No</dc:title>
</cp:coreProperties>
</file>