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PUC DOCKET NO. 23220</w:t>
      </w:r>
    </w:p>
    <w:p>
      <w:pPr>
        <w:pStyle w:val="Normal"/>
        <w:jc w:val="center"/>
        <w:rPr>
          <w:b/>
          <w:sz w:val="24"/>
        </w:rPr>
      </w:pPr>
      <w:r>
        <w:rPr>
          <w:b/>
          <w:sz w:val="24"/>
        </w:rPr>
      </w:r>
    </w:p>
    <w:p>
      <w:pPr>
        <w:pStyle w:val="Subtitle"/>
        <w:rPr>
          <w:sz w:val="24"/>
        </w:rPr>
      </w:pPr>
      <w:r>
        <w:rPr>
          <w:sz w:val="24"/>
        </w:rPr>
        <w:t>PETITION OF THE ELECTRIC</w:t>
        <w:tab/>
        <w:tab/>
        <w:t>§</w:t>
        <w:tab/>
        <w:t>PUBLIC UTILITY</w:t>
      </w:r>
    </w:p>
    <w:p>
      <w:pPr>
        <w:pStyle w:val="Normal"/>
        <w:rPr>
          <w:b/>
        </w:rPr>
      </w:pPr>
      <w:r>
        <w:rPr>
          <w:b/>
        </w:rPr>
        <w:t xml:space="preserve">RETAIABILITY COUNCIL OF </w:t>
        <w:tab/>
        <w:tab/>
        <w:t>§</w:t>
        <w:tab/>
        <w:t>COMMISSION</w:t>
      </w:r>
    </w:p>
    <w:p>
      <w:pPr>
        <w:pStyle w:val="Normal"/>
        <w:rPr>
          <w:b/>
        </w:rPr>
      </w:pPr>
      <w:r>
        <w:rPr>
          <w:b/>
        </w:rPr>
        <w:t xml:space="preserve">TEXAS FOR APPROVAL OF THE </w:t>
        <w:tab/>
        <w:t>§</w:t>
        <w:tab/>
        <w:t>OF TEXAS</w:t>
      </w:r>
    </w:p>
    <w:p>
      <w:pPr>
        <w:pStyle w:val="Heading1"/>
        <w:ind w:hanging="0" w:start="0"/>
        <w:rPr/>
      </w:pPr>
      <w:r>
        <w:rPr/>
        <w:t>ERCOT PROTOCOLS</w:t>
      </w:r>
    </w:p>
    <w:p>
      <w:pPr>
        <w:pStyle w:val="Normal"/>
        <w:rPr>
          <w:b/>
        </w:rPr>
      </w:pPr>
      <w:r>
        <w:rPr>
          <w:b/>
        </w:rPr>
      </w:r>
    </w:p>
    <w:p>
      <w:pPr>
        <w:pStyle w:val="Caption"/>
        <w:rPr>
          <w:b w:val="false"/>
        </w:rPr>
      </w:pPr>
      <w:r>
        <w:rPr/>
        <w:t>INITIAL BRIEF OF ENRON POWER MARKETING, INC. AND ENRON ENERGY SERVICES, INC.</w:t>
      </w:r>
    </w:p>
    <w:p>
      <w:pPr>
        <w:pStyle w:val="Normal"/>
        <w:jc w:val="center"/>
        <w:rPr>
          <w:b/>
        </w:rPr>
      </w:pPr>
      <w:r>
        <w:rPr>
          <w:b/>
        </w:rPr>
      </w:r>
    </w:p>
    <w:p>
      <w:pPr>
        <w:pStyle w:val="BodyText"/>
        <w:spacing w:lineRule="auto" w:line="480"/>
        <w:ind w:firstLine="720" w:end="0"/>
        <w:jc w:val="both"/>
        <w:rPr>
          <w:b w:val="false"/>
          <w:sz w:val="24"/>
        </w:rPr>
      </w:pPr>
      <w:r>
        <w:rPr>
          <w:b w:val="false"/>
          <w:sz w:val="24"/>
        </w:rPr>
        <w:t xml:space="preserve">Enron Power Marketing, Inc. and Enron Energy Services, Inc. (together “Enron”) file this initial brief in the above-docketed proceeding.  We will address only the Commission’s first issue on the decision point list (“DPL”), because we believe that all other issues appearing thereon pale in importance to the critical and essential need to “get the market structure right.”  </w:t>
      </w:r>
    </w:p>
    <w:p>
      <w:pPr>
        <w:pStyle w:val="Heading2"/>
        <w:spacing w:lineRule="auto" w:line="480"/>
        <w:ind w:firstLine="720" w:start="0" w:end="0"/>
        <w:jc w:val="both"/>
        <w:rPr/>
      </w:pPr>
      <w:r>
        <w:rPr/>
        <w:t>Public Utility Commission (PUC) 1</w:t>
      </w:r>
    </w:p>
    <w:p>
      <w:pPr>
        <w:pStyle w:val="Subtitle"/>
        <w:ind w:firstLine="360" w:end="0"/>
        <w:jc w:val="both"/>
        <w:rPr/>
      </w:pPr>
      <w:r>
        <w:rPr>
          <w:sz w:val="24"/>
        </w:rPr>
        <w:t>Are there any major deficiencies in the version of the Protocols to be implemented on June 1, 2001 that will result in a materially flawed market design?  If so, what measures should be put into place by June 1, 2001 including, if necessary, interim measures, to avoid any major problems upon the implementation of the Protocols?</w:t>
      </w:r>
      <w:r>
        <w:rPr>
          <w:b w:val="false"/>
          <w:sz w:val="24"/>
        </w:rPr>
        <w:t xml:space="preserve">          </w:t>
      </w:r>
    </w:p>
    <w:p>
      <w:pPr>
        <w:pStyle w:val="Subtitle"/>
        <w:ind w:firstLine="360" w:end="0"/>
        <w:jc w:val="both"/>
        <w:rPr>
          <w:b w:val="false"/>
          <w:sz w:val="24"/>
        </w:rPr>
      </w:pPr>
      <w:r>
        <w:rPr>
          <w:b w:val="false"/>
          <w:sz w:val="24"/>
        </w:rPr>
      </w:r>
    </w:p>
    <w:p>
      <w:pPr>
        <w:pStyle w:val="Subtitle"/>
        <w:spacing w:lineRule="auto" w:line="480"/>
        <w:ind w:firstLine="360" w:end="0"/>
        <w:jc w:val="both"/>
        <w:rPr>
          <w:b w:val="false"/>
          <w:sz w:val="24"/>
        </w:rPr>
      </w:pPr>
      <w:r>
        <w:rPr>
          <w:b w:val="false"/>
          <w:sz w:val="24"/>
        </w:rPr>
        <w:t>Embedded in the Protocols filed herein are significant disincentives for the creation of a robust and transparent spot market in ERCOT.  Retail electric providers must be able to access a deep and liquid spot market in order to effectively manage the portfolio of contracts they will be utilizing to serve their loads.  If such a market were to be encouraged and facilitated by the Protocols so that prices could mirror actual dispatch in real time, most, if not all, of the other specific issues raised by Staff would become irrelevant.  Enron regards this material flaw in the market design basis of the Protocols as an issue of the highest importance for the development of the fully competitive retail market envisioned in Senate Bill 7, and urges the Commission—as the place where the buck stops—not only to carefully analyze in this proceeding the relationship between the Protocols and market design, but to take the necessary actions to fix both.</w:t>
      </w:r>
    </w:p>
    <w:p>
      <w:pPr>
        <w:pStyle w:val="BodyTextIndent"/>
        <w:rPr/>
      </w:pPr>
      <w:r>
        <w:rPr/>
        <w:t>Implicit in the ERCOT Protocols is that “market making” activity will develop through the actions of the Qualified Scheduling Entities (QSEs).  We suggest that because the rules explicitly break the connection between the real time price and the actions of the dispatcher in coordinating supply and demand, QSEs will be unable to offer financial instruments that will allow market participants hedge market risk.  We recommend that the Protocols explicitly link the actions of the dispatcher to prices.  Unless prices are consistent with physical dispatch, the real time price will not be indicative of supply and demand conditions, and over time participants will not be incentivized to manage any of their price risk through spot purchases.  This outcome is unequivocally bad for the development of the market.  While Enron is in no way seeking to diminish the importance of long-term contracts as one possible hedging mechanism, it would be imprudent to leave such contracts unmanaged over the shorter term. In essence, a 5-year transaction is continually optimized in real time to the benefit of all involved.  Without a meaningful spot market, hedging will be discouraged, increasing costs to the consumer.</w:t>
      </w:r>
    </w:p>
    <w:p>
      <w:pPr>
        <w:pStyle w:val="Subtitle"/>
        <w:spacing w:lineRule="auto" w:line="480"/>
        <w:ind w:firstLine="360" w:end="0"/>
        <w:jc w:val="both"/>
        <w:rPr>
          <w:b w:val="false"/>
          <w:sz w:val="24"/>
        </w:rPr>
      </w:pPr>
      <w:r>
        <w:rPr>
          <w:b w:val="false"/>
          <w:sz w:val="24"/>
        </w:rPr>
        <w:t>As has been recognized on numerous occasions by the designers of the “market”, the ERCOT Protocols are based on two fundamental assumptions:</w:t>
      </w:r>
    </w:p>
    <w:p>
      <w:pPr>
        <w:pStyle w:val="Subtitle"/>
        <w:spacing w:lineRule="auto" w:line="480"/>
        <w:ind w:firstLine="360" w:end="0"/>
        <w:jc w:val="both"/>
        <w:rPr>
          <w:b w:val="false"/>
          <w:sz w:val="24"/>
        </w:rPr>
      </w:pPr>
      <w:r>
        <w:rPr>
          <w:b w:val="false"/>
          <w:sz w:val="24"/>
        </w:rPr>
        <w:t>*</w:t>
        <w:tab/>
        <w:t>ERCOT, as the reliability coordinator, will to the greatest extent possible not create or run an electricity market; and</w:t>
      </w:r>
    </w:p>
    <w:p>
      <w:pPr>
        <w:pStyle w:val="Subtitle"/>
        <w:spacing w:lineRule="auto" w:line="480"/>
        <w:ind w:firstLine="360" w:end="0"/>
        <w:jc w:val="both"/>
        <w:rPr>
          <w:b w:val="false"/>
          <w:sz w:val="24"/>
        </w:rPr>
      </w:pPr>
      <w:r>
        <w:rPr>
          <w:b w:val="false"/>
          <w:sz w:val="24"/>
        </w:rPr>
        <w:t>*</w:t>
        <w:tab/>
        <w:t>Bilateral contracting is the preferred exchange mechanism for electricity, and the Protocols should facilitate this result.</w:t>
      </w:r>
    </w:p>
    <w:p>
      <w:pPr>
        <w:pStyle w:val="Subtitle"/>
        <w:spacing w:lineRule="auto" w:line="480"/>
        <w:ind w:firstLine="720" w:end="0"/>
        <w:jc w:val="both"/>
        <w:rPr>
          <w:b w:val="false"/>
          <w:sz w:val="24"/>
        </w:rPr>
      </w:pPr>
      <w:r>
        <w:rPr>
          <w:b w:val="false"/>
          <w:sz w:val="24"/>
        </w:rPr>
        <w:t xml:space="preserve">Enron believes that a critical reexamination of these assumptions by the Commission would lead to significantly different market designs.  Specifically, with respect to the first assumption we believe that the dispatch of energy, the maintenance of reliability, and the effect of transmission constraints (including congestion-like stability or voltage control) cannot be meaningfully separated.  Therefore, in our view it is imperative that the market design recognize these interrelationships and provide the dispatcher with the tools that are necessary to manage the system, including congestion, in real time.  Regarding the second assumption, we believe that the market rules should be neutral with respect to the exchange mechanism.  In particular, if participants wish to utilize the spot market to effectively manage their supply portfolio, then they should be allowed to do so without additional financial penalties.  Unfortunately, the ERCOT rules explicitly seek to minimize the size (depth) of the spot market.  </w:t>
      </w:r>
    </w:p>
    <w:p>
      <w:pPr>
        <w:pStyle w:val="Subtitle"/>
        <w:spacing w:lineRule="auto" w:line="480"/>
        <w:ind w:firstLine="720" w:end="0"/>
        <w:jc w:val="both"/>
        <w:rPr>
          <w:b w:val="false"/>
          <w:sz w:val="24"/>
        </w:rPr>
      </w:pPr>
      <w:r>
        <w:rPr>
          <w:b w:val="false"/>
          <w:sz w:val="24"/>
        </w:rPr>
        <w:t>Moreover, we have not heard any explanation from either the primary market designers or the PUCT staff about how a robust spot market is expected to occur.  Enron is at a loss to understand how, without a liquid, real time spot market, forward bilateral markets in electricity products will develop effectively.  Without a robust spot market, it is unlikely that efficient hedging can take place.  FERC has already determined that there is an undue reliance on long-term contracts that are not financially optimized by the industry in Texas.</w:t>
      </w:r>
      <w:r>
        <w:rPr>
          <w:rStyle w:val="FootnoteCharacters"/>
          <w:rStyle w:val="FootnoteReference"/>
          <w:b/>
          <w:sz w:val="24"/>
        </w:rPr>
        <w:footnoteReference w:id="2"/>
      </w:r>
      <w:r>
        <w:rPr>
          <w:b w:val="false"/>
          <w:sz w:val="24"/>
        </w:rPr>
        <w:t xml:space="preserve">  In Enron’s view, what this adds up to is that the current Protocols are unlikely to be welfare maximizing and, with respect to the wholesale market, are unlikely to create outcomes whereby the price to end use customers is lowered.</w:t>
      </w:r>
      <w:r>
        <w:rPr>
          <w:rStyle w:val="FootnoteCharacters"/>
          <w:rStyle w:val="FootnoteReference"/>
          <w:b/>
          <w:sz w:val="24"/>
        </w:rPr>
        <w:footnoteReference w:id="3"/>
      </w:r>
    </w:p>
    <w:p>
      <w:pPr>
        <w:pStyle w:val="Subtitle"/>
        <w:spacing w:lineRule="auto" w:line="480"/>
        <w:ind w:firstLine="360" w:end="0"/>
        <w:jc w:val="both"/>
        <w:rPr/>
      </w:pPr>
      <w:r>
        <w:rPr>
          <w:b w:val="false"/>
          <w:sz w:val="24"/>
        </w:rPr>
        <w:t xml:space="preserve">It is reasonable to assume that the intent behind the passage of Senate Bill 7 was that it would lead, in the words of economists, to a Pareto improvement in social welfare for the citizens of Texas.  If this assumption is accurate then we would suggest that at some point in the Protocols review process it is imperative for the Commission to determine not only whether the resulting market design is likely to improve social welfare, but also whether other feasible designs exist that would yield even greater gains to society.  Because of the importance of electricity in the lives of consumers as well as the long-term nature of investments in the industry, we urge the Commission to perform this analysis before ruling on the Protocols.  Once the Protocols are in place it will be several years before we know whether or not they were optimal.  Moreover, not only will it take time to change them if they are wrong, but the effects of investments made under these sets of rules will effect public  welfare for decades.  In short, because the risks associated with getting it wrong are so high, we encourage the Commission to carefully examine whether the market created by the current set of Protocols is more likely than other design candidates to not only improve social welfare, but by the greatest possible amount.  </w:t>
      </w:r>
      <w:r>
        <w:rPr>
          <w:b w:val="false"/>
          <w:sz w:val="24"/>
          <w:u w:val="single"/>
        </w:rPr>
        <w:t>It is not as important at this point in time to look at specific rules within the Protocols, as it is to evaluate them in their entirety against a defined objective.</w:t>
      </w:r>
      <w:r>
        <w:rPr>
          <w:b w:val="false"/>
          <w:sz w:val="24"/>
        </w:rPr>
        <w:t xml:space="preserve">  While recognizing the extreme amount of time and effort that has been put into the development of the Protocols, we simply cannot understand the argument that it is “too late” to perform this fundamental analysis, especially given the importance of the initial rules in the future development of the industry as well as the economy at large.</w:t>
      </w:r>
    </w:p>
    <w:p>
      <w:pPr>
        <w:pStyle w:val="Subtitle"/>
        <w:spacing w:lineRule="auto" w:line="480"/>
        <w:ind w:firstLine="360" w:end="0"/>
        <w:jc w:val="both"/>
        <w:rPr>
          <w:b w:val="false"/>
          <w:sz w:val="24"/>
        </w:rPr>
      </w:pPr>
      <w:r>
        <w:rPr>
          <w:b w:val="false"/>
          <w:sz w:val="24"/>
        </w:rPr>
        <w:t xml:space="preserve">The necessary review by the Commission can be accomplished crisply, effectively, and in a timely manner.  Enron strongly believes that the implementation of dispatch-based pricing in ERCOT can effectively address many of our concerns and most of the gaming issues.  A variant of this methodology has been successfully implemented in PJM where a robust and transparent spot market has developed.  We understand that the technical software necessary to effect dispatch-based pricing in ERCOT has been written, and in fact is embedded in the current system under development in ERCOT.  In SPP, the developers of the ERCOT system plan to use the dispatch-based pricing building blocks to create SPP’s market operating system.  Pursuant to an appropriate policy decision by the Commission, a similar process can be undertaken to implement a dispatch-based pricing system in ERCOT. </w:t>
      </w:r>
    </w:p>
    <w:p>
      <w:pPr>
        <w:pStyle w:val="Subtitle"/>
        <w:spacing w:lineRule="auto" w:line="480"/>
        <w:ind w:firstLine="360" w:end="0"/>
        <w:jc w:val="both"/>
        <w:rPr>
          <w:sz w:val="24"/>
          <w:u w:val="single"/>
        </w:rPr>
      </w:pPr>
      <w:r>
        <w:rPr>
          <w:sz w:val="24"/>
          <w:u w:val="single"/>
        </w:rPr>
        <w:t xml:space="preserve">Conclusion and Summary </w:t>
      </w:r>
    </w:p>
    <w:p>
      <w:pPr>
        <w:pStyle w:val="Normal"/>
        <w:spacing w:lineRule="auto" w:line="480"/>
        <w:jc w:val="both"/>
        <w:rPr/>
      </w:pPr>
      <w:r>
        <w:rPr/>
        <w:t xml:space="preserve"> </w:t>
      </w:r>
      <w:r>
        <w:rPr/>
        <w:tab/>
        <w:t>In Senate Bill 7, the Legislature gave the Commission the responsibility and authority not only to evaluate the market rules developed and submitted for approval by the independent operator, but also to determine whether there is an alternative set of rules that would be more beneficial to the public welfare.  We submit that the magnitude of the outcomes that are engendered by the ERCOT Protocols mandates that the Commission and its staff undertake a critical analysis to determine whether the expected benefits of another (most likely) market design outweigh those of the Draft Protocols.  In particular we would like the Staff to compare the expected benefits that would arise from a dispatch-based pricing spot market, similar to PJM</w:t>
      </w:r>
      <w:r>
        <w:rPr>
          <w:rStyle w:val="FootnoteCharacters"/>
          <w:rStyle w:val="FootnoteReference"/>
        </w:rPr>
        <w:footnoteReference w:id="4"/>
      </w:r>
      <w:r>
        <w:rPr/>
        <w:t>, with those expected to arise from the implementation of the Draft Protocols.  Given the amount of information that is already available, this review and analysis should not delay  the implementation of the market.</w:t>
      </w:r>
    </w:p>
    <w:p>
      <w:pPr>
        <w:pStyle w:val="Normal"/>
        <w:spacing w:lineRule="auto" w:line="480"/>
        <w:jc w:val="both"/>
        <w:rPr/>
      </w:pPr>
      <w:r>
        <w:rPr/>
        <w:tab/>
        <w:tab/>
        <w:tab/>
        <w:tab/>
        <w:tab/>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Federal Energy Regulatory Commission, </w:t>
      </w:r>
      <w:r>
        <w:rPr>
          <w:i/>
        </w:rPr>
        <w:t>Investigation of Bulk Power Markets: ERCOT (Texas)</w:t>
      </w:r>
      <w:r>
        <w:rPr/>
        <w:t>, November 1,2000.</w:t>
      </w:r>
    </w:p>
  </w:footnote>
  <w:footnote w:id="3">
    <w:p>
      <w:pPr>
        <w:pStyle w:val="FootnoteText"/>
        <w:rPr/>
      </w:pPr>
      <w:r>
        <w:rPr>
          <w:rStyle w:val="FootnoteCharacters"/>
        </w:rPr>
        <w:footnoteRef/>
      </w:r>
      <w:r>
        <w:rPr/>
        <w:t xml:space="preserve"> </w:t>
      </w:r>
      <w:r>
        <w:rPr/>
        <w:t>As is anticipated by S.B.7</w:t>
      </w:r>
    </w:p>
  </w:footnote>
  <w:footnote w:id="4">
    <w:p>
      <w:pPr>
        <w:pStyle w:val="FootnoteText"/>
        <w:rPr/>
      </w:pPr>
      <w:r>
        <w:rPr>
          <w:rStyle w:val="FootnoteCharacters"/>
        </w:rPr>
        <w:footnoteRef/>
      </w:r>
      <w:r>
        <w:rPr/>
        <w:t xml:space="preserve"> </w:t>
      </w:r>
      <w:r>
        <w:rPr/>
        <w:t>Or that is proposed in the Southwest Power Pool.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0" w:start="720" w:end="0"/>
      <w:outlineLvl w:val="2"/>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jc w:val="center"/>
    </w:pPr>
    <w:rPr>
      <w:b/>
      <w:bCs/>
      <w:sz w:val="28"/>
    </w:rPr>
  </w:style>
  <w:style w:type="paragraph" w:styleId="List">
    <w:name w:val="List"/>
    <w:basedOn w:val="BodyText"/>
    <w:pPr/>
    <w:rPr>
      <w:rFonts w:cs="NotoSans NF"/>
    </w:rPr>
  </w:style>
  <w:style w:type="paragraph" w:styleId="Caption">
    <w:name w:val="caption"/>
    <w:basedOn w:val="Normal"/>
    <w:next w:val="Normal"/>
    <w:qFormat/>
    <w:pPr>
      <w:jc w:val="center"/>
    </w:pPr>
    <w:rPr>
      <w:b/>
      <w:szCs w:val="20"/>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8"/>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spacing w:lineRule="auto" w:line="480"/>
      <w:ind w:firstLine="36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2001-01-26T19:26:00Z</dcterms:created>
  <dc:creator>rkittel</dc:creator>
  <dc:description/>
  <dc:language>en-CA</dc:language>
  <cp:lastModifiedBy>Marianne Carroll</cp:lastModifiedBy>
  <cp:lastPrinted>2001-01-26T16:49:00Z</cp:lastPrinted>
  <dcterms:modified xsi:type="dcterms:W3CDTF">2001-01-26T20:21:00Z</dcterms:modified>
  <cp:revision>7</cp:revision>
  <dc:subject/>
  <dc:title>DOCKET NO</dc:title>
</cp:coreProperties>
</file>