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pPr w:vertAnchor="page" w:horzAnchor="margin" w:tblpXSpec="center" w:leftFromText="180" w:rightFromText="180" w:tblpY="545"/>
        <w:tblW w:w="10951" w:type="dxa"/>
        <w:jc w:val="start"/>
        <w:tblInd w:w="65" w:type="dxa"/>
        <w:tblLayout w:type="fixed"/>
        <w:tblCellMar>
          <w:top w:w="0" w:type="dxa"/>
          <w:start w:w="65" w:type="dxa"/>
          <w:bottom w:w="0" w:type="dxa"/>
          <w:end w:w="65" w:type="dxa"/>
        </w:tblCellMar>
      </w:tblPr>
      <w:tblGrid>
        <w:gridCol w:w="875"/>
        <w:gridCol w:w="1702"/>
        <w:gridCol w:w="98"/>
        <w:gridCol w:w="4797"/>
        <w:gridCol w:w="245"/>
        <w:gridCol w:w="475"/>
        <w:gridCol w:w="1232"/>
        <w:gridCol w:w="83"/>
        <w:gridCol w:w="273"/>
        <w:gridCol w:w="98"/>
        <w:gridCol w:w="1044"/>
        <w:gridCol w:w="29"/>
      </w:tblGrid>
      <w:tr>
        <w:trPr>
          <w:trHeight w:val="80" w:hRule="exact"/>
        </w:trPr>
        <w:tc>
          <w:tcPr>
            <w:tcW w:w="875" w:type="dxa"/>
            <w:tcBorders/>
          </w:tcPr>
          <w:p>
            <w:pPr>
              <w:pStyle w:val="KPMGNormal"/>
              <w:snapToGrid w:val="false"/>
              <w:jc w:val="end"/>
              <w:rPr/>
            </w:pPr>
            <w:r>
              <w:rPr/>
            </w:r>
          </w:p>
        </w:tc>
        <w:tc>
          <w:tcPr>
            <w:tcW w:w="1800" w:type="dxa"/>
            <w:gridSpan w:val="2"/>
            <w:tcBorders/>
          </w:tcPr>
          <w:p>
            <w:pPr>
              <w:pStyle w:val="KPMGNormal"/>
              <w:snapToGrid w:val="false"/>
              <w:rPr/>
            </w:pPr>
            <w:r>
              <w:rPr/>
            </w:r>
          </w:p>
        </w:tc>
        <w:tc>
          <w:tcPr>
            <w:tcW w:w="5042" w:type="dxa"/>
            <w:gridSpan w:val="2"/>
            <w:tcBorders/>
          </w:tcPr>
          <w:p>
            <w:pPr>
              <w:pStyle w:val="KPMGMemoBranding"/>
              <w:rPr/>
            </w:pPr>
            <w:r>
              <w:fldChar w:fldCharType="begin">
                <w:ffData>
                  <w:name w:val="Unnamed"/>
                  <w:enabled/>
                  <w:ddList>
                    <w:result w:val="0"/>
                  </w:ddList>
                </w:ffData>
              </w:fldChar>
            </w:r>
            <w:r>
              <w:rPr/>
              <w:instrText xml:space="preserve"> FORMDROPDOWN </w:instrText>
            </w:r>
            <w:r>
              <w:rPr/>
              <w:fldChar w:fldCharType="separate"/>
            </w:r>
            <w:bookmarkStart w:id="0" w:name="Unnamed"/>
            <w:bookmarkStart w:id="1" w:name="Unnamed"/>
            <w:bookmarkEnd w:id="1"/>
            <w:r/>
            <w:r>
              <w:rPr/>
              <w:fldChar w:fldCharType="end"/>
            </w:r>
            <w:r>
              <w:rPr/>
            </w:r>
          </w:p>
        </w:tc>
        <w:tc>
          <w:tcPr>
            <w:tcW w:w="2161" w:type="dxa"/>
            <w:gridSpan w:val="5"/>
            <w:tcBorders/>
          </w:tcPr>
          <w:p>
            <w:pPr>
              <w:pStyle w:val="KPMGNormal"/>
              <w:snapToGrid w:val="false"/>
              <w:rPr>
                <w:rFonts w:ascii="Univers 55" w:hAnsi="Univers 55" w:cs="Univers 55"/>
                <w:sz w:val="16"/>
              </w:rPr>
            </w:pPr>
            <w:r>
              <w:rPr>
                <w:rFonts w:cs="Univers 55" w:ascii="Univers 55" w:hAnsi="Univers 55"/>
                <w:sz w:val="16"/>
              </w:rPr>
            </w:r>
          </w:p>
        </w:tc>
        <w:tc>
          <w:tcPr>
            <w:tcW w:w="1073" w:type="dxa"/>
            <w:gridSpan w:val="2"/>
            <w:tcBorders/>
            <w:tcMar>
              <w:start w:w="0" w:type="dxa"/>
              <w:end w:w="0" w:type="dxa"/>
            </w:tcMar>
          </w:tcPr>
          <w:p>
            <w:pPr>
              <w:pStyle w:val="Normal"/>
              <w:snapToGrid w:val="false"/>
              <w:rPr>
                <w:rFonts w:ascii="Univers 55" w:hAnsi="Univers 55" w:cs="Univers 55"/>
                <w:sz w:val="16"/>
              </w:rPr>
            </w:pPr>
            <w:r>
              <w:rPr>
                <w:rFonts w:cs="Univers 55" w:ascii="Univers 55" w:hAnsi="Univers 55"/>
                <w:sz w:val="16"/>
              </w:rPr>
            </w:r>
          </w:p>
        </w:tc>
      </w:tr>
      <w:tr>
        <w:trPr>
          <w:trHeight w:val="23" w:hRule="exact"/>
        </w:trPr>
        <w:tc>
          <w:tcPr>
            <w:tcW w:w="875" w:type="dxa"/>
            <w:tcBorders/>
          </w:tcPr>
          <w:p>
            <w:pPr>
              <w:pStyle w:val="KPMGNormal"/>
              <w:snapToGrid w:val="false"/>
              <w:jc w:val="end"/>
              <w:rPr>
                <w:rFonts w:ascii="Univers 55" w:hAnsi="Univers 55" w:cs="Univers 55"/>
              </w:rPr>
            </w:pPr>
            <w:r>
              <w:rPr>
                <w:rFonts w:cs="Univers 55" w:ascii="Univers 55" w:hAnsi="Univers 55"/>
              </w:rPr>
            </w:r>
          </w:p>
        </w:tc>
        <w:tc>
          <w:tcPr>
            <w:tcW w:w="1702" w:type="dxa"/>
            <w:tcBorders/>
          </w:tcPr>
          <w:p>
            <w:pPr>
              <w:pStyle w:val="KPMGNormal"/>
              <w:snapToGrid w:val="false"/>
              <w:rPr/>
            </w:pPr>
            <w:r>
              <w:rPr/>
            </w:r>
          </w:p>
        </w:tc>
        <w:tc>
          <w:tcPr>
            <w:tcW w:w="6930" w:type="dxa"/>
            <w:gridSpan w:val="6"/>
            <w:tcBorders/>
          </w:tcPr>
          <w:p>
            <w:pPr>
              <w:pStyle w:val="KPMGMemoBranding"/>
              <w:rPr/>
            </w:pPr>
            <w:r>
              <w:fldChar w:fldCharType="begin">
                <w:ffData>
                  <w:name w:val="LOBBranding"/>
                  <w:enabled/>
                  <w:calcOnExit w:val="0"/>
                  <w:textInput/>
                </w:ffData>
              </w:fldChar>
            </w:r>
            <w:r>
              <w:rPr/>
              <w:instrText xml:space="preserve"> FORMTEXT </w:instrText>
            </w:r>
            <w:r>
              <w:rPr/>
            </w:r>
            <w:r>
              <w:rPr/>
              <w:fldChar w:fldCharType="separate"/>
            </w:r>
            <w:r>
              <w:rPr/>
              <w:t>     </w:t>
            </w:r>
            <w:r/>
            <w:r>
              <w:rPr/>
              <w:fldChar w:fldCharType="end"/>
            </w:r>
            <w:r>
              <w:rPr/>
            </w:r>
          </w:p>
        </w:tc>
        <w:tc>
          <w:tcPr>
            <w:tcW w:w="273" w:type="dxa"/>
            <w:tcBorders/>
          </w:tcPr>
          <w:p>
            <w:pPr>
              <w:pStyle w:val="KPMGNormal"/>
              <w:snapToGrid w:val="false"/>
              <w:rPr>
                <w:rFonts w:ascii="Univers 55" w:hAnsi="Univers 55" w:cs="Univers 55"/>
                <w:sz w:val="16"/>
              </w:rPr>
            </w:pPr>
            <w:r>
              <w:rPr>
                <w:rFonts w:cs="Univers 55" w:ascii="Univers 55" w:hAnsi="Univers 55"/>
                <w:sz w:val="16"/>
              </w:rPr>
            </w:r>
          </w:p>
        </w:tc>
        <w:tc>
          <w:tcPr>
            <w:tcW w:w="1171" w:type="dxa"/>
            <w:gridSpan w:val="3"/>
            <w:tcBorders/>
            <w:tcMar>
              <w:start w:w="0" w:type="dxa"/>
              <w:end w:w="0" w:type="dxa"/>
            </w:tcMar>
          </w:tcPr>
          <w:p>
            <w:pPr>
              <w:pStyle w:val="Normal"/>
              <w:snapToGrid w:val="false"/>
              <w:rPr>
                <w:rFonts w:ascii="Univers 55" w:hAnsi="Univers 55" w:cs="Univers 55"/>
                <w:sz w:val="16"/>
              </w:rPr>
            </w:pPr>
            <w:r>
              <w:rPr>
                <w:rFonts w:cs="Univers 55" w:ascii="Univers 55" w:hAnsi="Univers 55"/>
                <w:sz w:val="16"/>
              </w:rPr>
            </w:r>
          </w:p>
        </w:tc>
      </w:tr>
      <w:tr>
        <w:trPr>
          <w:trHeight w:val="280" w:hRule="exact"/>
        </w:trPr>
        <w:tc>
          <w:tcPr>
            <w:tcW w:w="875" w:type="dxa"/>
            <w:tcBorders/>
          </w:tcPr>
          <w:p>
            <w:pPr>
              <w:pStyle w:val="KPMGMemoToFrom"/>
              <w:rPr>
                <w:b/>
                <w:bCs/>
              </w:rPr>
            </w:pPr>
            <w:r>
              <w:rPr>
                <w:b/>
                <w:bCs/>
              </w:rPr>
              <w:t>To</w:t>
            </w:r>
          </w:p>
        </w:tc>
        <w:tc>
          <w:tcPr>
            <w:tcW w:w="6597" w:type="dxa"/>
            <w:gridSpan w:val="3"/>
            <w:tcBorders/>
          </w:tcPr>
          <w:p>
            <w:pPr>
              <w:pStyle w:val="KPMGNormal"/>
              <w:rPr/>
            </w:pPr>
            <w:r>
              <w:rPr/>
              <w:t>Murray O’Neil, Chris Stokley</w:t>
            </w:r>
          </w:p>
        </w:tc>
        <w:tc>
          <w:tcPr>
            <w:tcW w:w="720" w:type="dxa"/>
            <w:gridSpan w:val="2"/>
            <w:tcBorders/>
          </w:tcPr>
          <w:p>
            <w:pPr>
              <w:pStyle w:val="KPMGMemoToFrom"/>
              <w:rPr>
                <w:b/>
                <w:bCs/>
              </w:rPr>
            </w:pPr>
            <w:r>
              <w:rPr>
                <w:b/>
                <w:bCs/>
              </w:rPr>
              <w:t>Date</w:t>
            </w:r>
          </w:p>
        </w:tc>
        <w:tc>
          <w:tcPr>
            <w:tcW w:w="2730" w:type="dxa"/>
            <w:gridSpan w:val="5"/>
            <w:tcBorders/>
          </w:tcPr>
          <w:p>
            <w:pPr>
              <w:pStyle w:val="KPMGNormal"/>
              <w:rPr>
                <w:lang w:val="en-CA" w:eastAsia="en-CA"/>
              </w:rPr>
            </w:pPr>
            <w:r>
              <w:fldChar w:fldCharType="begin">
                <w:ffData>
                  <w:name w:val="Date"/>
                  <w:enabled/>
                  <w:calcOnExit w:val="0"/>
                  <w:textInput>
                    <w:type w:val="date"/>
                    <w:maxLength w:val="2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August 23, 2001</w:t>
            </w:r>
            <w:r/>
            <w:r>
              <w:rPr>
                <w:lang w:val="en-CA" w:eastAsia="en-CA"/>
              </w:rPr>
              <w:fldChar w:fldCharType="end"/>
            </w:r>
            <w:r>
              <w:rPr>
                <w:lang w:val="en-CA" w:eastAsia="en-CA"/>
              </w:rPr>
            </w:r>
          </w:p>
        </w:tc>
        <w:tc>
          <w:tcPr>
            <w:tcW w:w="29" w:type="dxa"/>
            <w:tcBorders/>
            <w:tcMar>
              <w:start w:w="0" w:type="dxa"/>
              <w:end w:w="0" w:type="dxa"/>
            </w:tcMar>
          </w:tcPr>
          <w:p>
            <w:pPr>
              <w:pStyle w:val="Normal"/>
              <w:snapToGrid w:val="false"/>
              <w:rPr/>
            </w:pPr>
            <w:r>
              <w:rPr/>
            </w:r>
          </w:p>
        </w:tc>
      </w:tr>
      <w:tr>
        <w:trPr>
          <w:trHeight w:val="280" w:hRule="exact"/>
        </w:trPr>
        <w:tc>
          <w:tcPr>
            <w:tcW w:w="875" w:type="dxa"/>
            <w:tcBorders/>
          </w:tcPr>
          <w:p>
            <w:pPr>
              <w:pStyle w:val="KPMGNormal"/>
              <w:snapToGrid w:val="false"/>
              <w:jc w:val="end"/>
              <w:rPr/>
            </w:pPr>
            <w:r>
              <w:rPr/>
            </w:r>
          </w:p>
        </w:tc>
        <w:tc>
          <w:tcPr>
            <w:tcW w:w="6597" w:type="dxa"/>
            <w:gridSpan w:val="3"/>
            <w:tcBorders/>
          </w:tcPr>
          <w:p>
            <w:pPr>
              <w:pStyle w:val="KPMGNormal"/>
              <w:ind w:end="1267"/>
              <w:rPr/>
            </w:pPr>
            <w:r>
              <w:rPr/>
              <w:t>Enron Corporation</w:t>
            </w:r>
          </w:p>
        </w:tc>
        <w:tc>
          <w:tcPr>
            <w:tcW w:w="720" w:type="dxa"/>
            <w:gridSpan w:val="2"/>
            <w:tcBorders/>
          </w:tcPr>
          <w:p>
            <w:pPr>
              <w:pStyle w:val="KPMGNormal"/>
              <w:snapToGrid w:val="false"/>
              <w:jc w:val="end"/>
              <w:rPr/>
            </w:pPr>
            <w:r>
              <w:rPr/>
            </w:r>
          </w:p>
        </w:tc>
        <w:tc>
          <w:tcPr>
            <w:tcW w:w="2730" w:type="dxa"/>
            <w:gridSpan w:val="5"/>
            <w:tcBorders/>
          </w:tcPr>
          <w:p>
            <w:pPr>
              <w:pStyle w:val="KPMGNormal"/>
              <w:snapToGrid w:val="false"/>
              <w:rPr/>
            </w:pPr>
            <w:r>
              <w:rPr/>
            </w:r>
          </w:p>
        </w:tc>
        <w:tc>
          <w:tcPr>
            <w:tcW w:w="29" w:type="dxa"/>
            <w:tcBorders/>
            <w:tcMar>
              <w:start w:w="0" w:type="dxa"/>
              <w:end w:w="0" w:type="dxa"/>
            </w:tcMar>
          </w:tcPr>
          <w:p>
            <w:pPr>
              <w:pStyle w:val="Normal"/>
              <w:snapToGrid w:val="false"/>
              <w:rPr/>
            </w:pPr>
            <w:r>
              <w:rPr/>
            </w:r>
          </w:p>
        </w:tc>
      </w:tr>
      <w:tr>
        <w:trPr>
          <w:trHeight w:val="280" w:hRule="exact"/>
        </w:trPr>
        <w:tc>
          <w:tcPr>
            <w:tcW w:w="875" w:type="dxa"/>
            <w:tcBorders/>
          </w:tcPr>
          <w:p>
            <w:pPr>
              <w:pStyle w:val="KPMGNormal"/>
              <w:snapToGrid w:val="false"/>
              <w:jc w:val="end"/>
              <w:rPr/>
            </w:pPr>
            <w:r>
              <w:rPr/>
            </w:r>
          </w:p>
        </w:tc>
        <w:tc>
          <w:tcPr>
            <w:tcW w:w="6597" w:type="dxa"/>
            <w:gridSpan w:val="3"/>
            <w:tcBorders/>
          </w:tcPr>
          <w:p>
            <w:pPr>
              <w:pStyle w:val="KPMGNormal"/>
              <w:snapToGrid w:val="false"/>
              <w:rPr/>
            </w:pPr>
            <w:r>
              <w:rPr/>
            </w:r>
          </w:p>
        </w:tc>
        <w:tc>
          <w:tcPr>
            <w:tcW w:w="720" w:type="dxa"/>
            <w:gridSpan w:val="2"/>
            <w:tcBorders/>
          </w:tcPr>
          <w:p>
            <w:pPr>
              <w:pStyle w:val="KPMGNormal"/>
              <w:snapToGrid w:val="false"/>
              <w:jc w:val="end"/>
              <w:rPr/>
            </w:pPr>
            <w:r>
              <w:rPr/>
            </w:r>
          </w:p>
        </w:tc>
        <w:tc>
          <w:tcPr>
            <w:tcW w:w="2730" w:type="dxa"/>
            <w:gridSpan w:val="5"/>
            <w:tcBorders/>
          </w:tcPr>
          <w:p>
            <w:pPr>
              <w:pStyle w:val="KPMGNormal"/>
              <w:snapToGrid w:val="false"/>
              <w:rPr>
                <w:rFonts w:ascii="Univers 45 Light" w:hAnsi="Univers 45 Light" w:cs="Univers 45 Light"/>
                <w:sz w:val="16"/>
              </w:rPr>
            </w:pPr>
            <w:r>
              <w:rPr>
                <w:rFonts w:cs="Univers 45 Light" w:ascii="Univers 45 Light" w:hAnsi="Univers 45 Light"/>
                <w:sz w:val="16"/>
              </w:rPr>
            </w:r>
          </w:p>
        </w:tc>
        <w:tc>
          <w:tcPr>
            <w:tcW w:w="29" w:type="dxa"/>
            <w:tcBorders/>
            <w:tcMar>
              <w:start w:w="0" w:type="dxa"/>
              <w:end w:w="0" w:type="dxa"/>
            </w:tcMar>
          </w:tcPr>
          <w:p>
            <w:pPr>
              <w:pStyle w:val="Normal"/>
              <w:snapToGrid w:val="false"/>
              <w:rPr>
                <w:rFonts w:ascii="Univers 45 Light" w:hAnsi="Univers 45 Light" w:cs="Univers 45 Light"/>
                <w:sz w:val="16"/>
              </w:rPr>
            </w:pPr>
            <w:r>
              <w:rPr>
                <w:rFonts w:cs="Univers 45 Light" w:ascii="Univers 45 Light" w:hAnsi="Univers 45 Light"/>
                <w:sz w:val="16"/>
              </w:rPr>
            </w:r>
          </w:p>
        </w:tc>
      </w:tr>
      <w:tr>
        <w:trPr>
          <w:trHeight w:val="280" w:hRule="exact"/>
        </w:trPr>
        <w:tc>
          <w:tcPr>
            <w:tcW w:w="875" w:type="dxa"/>
            <w:tcBorders/>
          </w:tcPr>
          <w:p>
            <w:pPr>
              <w:pStyle w:val="KPMGMemoToFrom"/>
              <w:rPr>
                <w:b/>
                <w:bCs/>
              </w:rPr>
            </w:pPr>
            <w:r>
              <w:rPr>
                <w:b/>
                <w:bCs/>
              </w:rPr>
              <w:t>From</w:t>
            </w:r>
          </w:p>
        </w:tc>
        <w:tc>
          <w:tcPr>
            <w:tcW w:w="6597" w:type="dxa"/>
            <w:gridSpan w:val="3"/>
            <w:tcBorders/>
          </w:tcPr>
          <w:p>
            <w:pPr>
              <w:pStyle w:val="KPMGNormal"/>
              <w:rPr/>
            </w:pPr>
            <w:r>
              <w:rPr/>
              <w:t>Joshua Galvan, Annie Leung</w:t>
            </w:r>
          </w:p>
        </w:tc>
        <w:tc>
          <w:tcPr>
            <w:tcW w:w="720" w:type="dxa"/>
            <w:gridSpan w:val="2"/>
            <w:tcBorders/>
          </w:tcPr>
          <w:p>
            <w:pPr>
              <w:pStyle w:val="KPMGMemoToFrom"/>
              <w:snapToGrid w:val="false"/>
              <w:rPr/>
            </w:pPr>
            <w:r>
              <w:rPr/>
            </w:r>
          </w:p>
        </w:tc>
        <w:tc>
          <w:tcPr>
            <w:tcW w:w="2730" w:type="dxa"/>
            <w:gridSpan w:val="5"/>
            <w:tcBorders/>
          </w:tcPr>
          <w:p>
            <w:pPr>
              <w:pStyle w:val="KPMGNormal"/>
              <w:snapToGrid w:val="false"/>
              <w:rPr/>
            </w:pPr>
            <w:r>
              <w:rPr/>
            </w:r>
          </w:p>
        </w:tc>
        <w:tc>
          <w:tcPr>
            <w:tcW w:w="29" w:type="dxa"/>
            <w:tcBorders/>
            <w:tcMar>
              <w:start w:w="0" w:type="dxa"/>
              <w:end w:w="0" w:type="dxa"/>
            </w:tcMar>
          </w:tcPr>
          <w:p>
            <w:pPr>
              <w:pStyle w:val="Normal"/>
              <w:snapToGrid w:val="false"/>
              <w:rPr/>
            </w:pPr>
            <w:r>
              <w:rPr/>
            </w:r>
          </w:p>
        </w:tc>
      </w:tr>
      <w:tr>
        <w:trPr>
          <w:trHeight w:val="560" w:hRule="exact"/>
        </w:trPr>
        <w:tc>
          <w:tcPr>
            <w:tcW w:w="875" w:type="dxa"/>
            <w:tcBorders/>
          </w:tcPr>
          <w:p>
            <w:pPr>
              <w:pStyle w:val="KPMGNormal"/>
              <w:snapToGrid w:val="false"/>
              <w:jc w:val="end"/>
              <w:rPr/>
            </w:pPr>
            <w:r>
              <w:rPr/>
            </w:r>
          </w:p>
        </w:tc>
        <w:tc>
          <w:tcPr>
            <w:tcW w:w="6597" w:type="dxa"/>
            <w:gridSpan w:val="3"/>
            <w:tcBorders/>
          </w:tcPr>
          <w:p>
            <w:pPr>
              <w:pStyle w:val="KPMGNormal"/>
              <w:rPr/>
            </w:pPr>
            <w:r>
              <w:rPr/>
              <w:t>KPMG LLP, Information Risk Management - Houston</w:t>
            </w:r>
          </w:p>
        </w:tc>
        <w:tc>
          <w:tcPr>
            <w:tcW w:w="720" w:type="dxa"/>
            <w:gridSpan w:val="2"/>
            <w:tcBorders/>
          </w:tcPr>
          <w:p>
            <w:pPr>
              <w:pStyle w:val="KPMGMemoToFrom"/>
              <w:snapToGrid w:val="false"/>
              <w:rPr/>
            </w:pPr>
            <w:r>
              <w:rPr/>
            </w:r>
          </w:p>
        </w:tc>
        <w:tc>
          <w:tcPr>
            <w:tcW w:w="2730" w:type="dxa"/>
            <w:gridSpan w:val="5"/>
            <w:tcBorders/>
          </w:tcPr>
          <w:p>
            <w:pPr>
              <w:pStyle w:val="KPMGNormal"/>
              <w:snapToGrid w:val="false"/>
              <w:rPr/>
            </w:pPr>
            <w:r>
              <w:rPr/>
            </w:r>
            <w:bookmarkStart w:id="2" w:name="PathRefPerm"/>
            <w:bookmarkStart w:id="3" w:name="PathRefPerm"/>
            <w:bookmarkEnd w:id="3"/>
          </w:p>
        </w:tc>
        <w:tc>
          <w:tcPr>
            <w:tcW w:w="29" w:type="dxa"/>
            <w:tcBorders/>
            <w:tcMar>
              <w:start w:w="0" w:type="dxa"/>
              <w:end w:w="0" w:type="dxa"/>
            </w:tcMar>
          </w:tcPr>
          <w:p>
            <w:pPr>
              <w:pStyle w:val="Normal"/>
              <w:snapToGrid w:val="false"/>
              <w:rPr/>
            </w:pPr>
            <w:r>
              <w:rPr/>
            </w:r>
          </w:p>
        </w:tc>
      </w:tr>
      <w:tr>
        <w:trPr>
          <w:trHeight w:val="280" w:hRule="exact"/>
        </w:trPr>
        <w:tc>
          <w:tcPr>
            <w:tcW w:w="875" w:type="dxa"/>
            <w:tcBorders/>
          </w:tcPr>
          <w:p>
            <w:pPr>
              <w:pStyle w:val="KPMGMemoToFrom"/>
              <w:rPr>
                <w:b/>
                <w:bCs/>
              </w:rPr>
            </w:pPr>
            <w:r>
              <w:rPr>
                <w:b/>
                <w:bCs/>
              </w:rPr>
              <w:t>cc</w:t>
            </w:r>
          </w:p>
        </w:tc>
        <w:tc>
          <w:tcPr>
            <w:tcW w:w="6597" w:type="dxa"/>
            <w:gridSpan w:val="3"/>
            <w:tcBorders/>
          </w:tcPr>
          <w:p>
            <w:pPr>
              <w:pStyle w:val="KPMGNormal"/>
              <w:rPr/>
            </w:pPr>
            <w:r>
              <w:rPr/>
              <w:t>Randy Wilson</w:t>
            </w:r>
          </w:p>
        </w:tc>
        <w:tc>
          <w:tcPr>
            <w:tcW w:w="720" w:type="dxa"/>
            <w:gridSpan w:val="2"/>
            <w:tcBorders/>
          </w:tcPr>
          <w:p>
            <w:pPr>
              <w:pStyle w:val="KPMGNormal"/>
              <w:snapToGrid w:val="false"/>
              <w:jc w:val="end"/>
              <w:rPr/>
            </w:pPr>
            <w:r>
              <w:rPr/>
            </w:r>
          </w:p>
        </w:tc>
        <w:tc>
          <w:tcPr>
            <w:tcW w:w="2730" w:type="dxa"/>
            <w:gridSpan w:val="5"/>
            <w:tcBorders/>
          </w:tcPr>
          <w:p>
            <w:pPr>
              <w:pStyle w:val="KPMGNormal"/>
              <w:snapToGrid w:val="false"/>
              <w:rPr>
                <w:rFonts w:ascii="Univers 45 Light" w:hAnsi="Univers 45 Light" w:cs="Univers 45 Light"/>
                <w:sz w:val="16"/>
              </w:rPr>
            </w:pPr>
            <w:r>
              <w:rPr>
                <w:rFonts w:cs="Univers 45 Light" w:ascii="Univers 45 Light" w:hAnsi="Univers 45 Light"/>
                <w:sz w:val="16"/>
              </w:rPr>
            </w:r>
          </w:p>
        </w:tc>
        <w:tc>
          <w:tcPr>
            <w:tcW w:w="29" w:type="dxa"/>
            <w:tcBorders/>
            <w:tcMar>
              <w:start w:w="0" w:type="dxa"/>
              <w:end w:w="0" w:type="dxa"/>
            </w:tcMar>
          </w:tcPr>
          <w:p>
            <w:pPr>
              <w:pStyle w:val="Normal"/>
              <w:snapToGrid w:val="false"/>
              <w:rPr>
                <w:rFonts w:ascii="Univers 45 Light" w:hAnsi="Univers 45 Light" w:cs="Univers 45 Light"/>
                <w:sz w:val="16"/>
              </w:rPr>
            </w:pPr>
            <w:r>
              <w:rPr>
                <w:rFonts w:cs="Univers 45 Light" w:ascii="Univers 45 Light" w:hAnsi="Univers 45 Light"/>
                <w:sz w:val="16"/>
              </w:rPr>
            </w:r>
          </w:p>
        </w:tc>
      </w:tr>
      <w:tr>
        <w:trPr>
          <w:trHeight w:val="280" w:hRule="exact"/>
        </w:trPr>
        <w:tc>
          <w:tcPr>
            <w:tcW w:w="875" w:type="dxa"/>
            <w:tcBorders/>
          </w:tcPr>
          <w:p>
            <w:pPr>
              <w:pStyle w:val="KPMGMemoToFrom"/>
              <w:snapToGrid w:val="false"/>
              <w:rPr/>
            </w:pPr>
            <w:r>
              <w:rPr/>
            </w:r>
          </w:p>
        </w:tc>
        <w:tc>
          <w:tcPr>
            <w:tcW w:w="6597" w:type="dxa"/>
            <w:gridSpan w:val="3"/>
            <w:tcBorders/>
          </w:tcPr>
          <w:p>
            <w:pPr>
              <w:pStyle w:val="KPMGNormal"/>
              <w:rPr/>
            </w:pPr>
            <w:r>
              <w:rPr/>
              <w:t>KPMG LLP, Information Risk Management - Houston</w:t>
            </w:r>
          </w:p>
        </w:tc>
        <w:tc>
          <w:tcPr>
            <w:tcW w:w="720" w:type="dxa"/>
            <w:gridSpan w:val="2"/>
            <w:tcBorders/>
          </w:tcPr>
          <w:p>
            <w:pPr>
              <w:pStyle w:val="KPMGNormal"/>
              <w:snapToGrid w:val="false"/>
              <w:jc w:val="end"/>
              <w:rPr/>
            </w:pPr>
            <w:r>
              <w:rPr/>
            </w:r>
          </w:p>
        </w:tc>
        <w:tc>
          <w:tcPr>
            <w:tcW w:w="2730" w:type="dxa"/>
            <w:gridSpan w:val="5"/>
            <w:tcBorders/>
          </w:tcPr>
          <w:p>
            <w:pPr>
              <w:pStyle w:val="KPMGNormal"/>
              <w:snapToGrid w:val="false"/>
              <w:rPr>
                <w:rFonts w:ascii="Univers 45 Light" w:hAnsi="Univers 45 Light" w:cs="Univers 45 Light"/>
                <w:sz w:val="16"/>
              </w:rPr>
            </w:pPr>
            <w:r>
              <w:rPr>
                <w:rFonts w:cs="Univers 45 Light" w:ascii="Univers 45 Light" w:hAnsi="Univers 45 Light"/>
                <w:sz w:val="16"/>
              </w:rPr>
            </w:r>
          </w:p>
        </w:tc>
        <w:tc>
          <w:tcPr>
            <w:tcW w:w="29" w:type="dxa"/>
            <w:tcBorders/>
            <w:tcMar>
              <w:start w:w="0" w:type="dxa"/>
              <w:end w:w="0" w:type="dxa"/>
            </w:tcMar>
          </w:tcPr>
          <w:p>
            <w:pPr>
              <w:pStyle w:val="Normal"/>
              <w:snapToGrid w:val="false"/>
              <w:rPr>
                <w:rFonts w:ascii="Univers 45 Light" w:hAnsi="Univers 45 Light" w:cs="Univers 45 Light"/>
                <w:sz w:val="16"/>
              </w:rPr>
            </w:pPr>
            <w:r>
              <w:rPr>
                <w:rFonts w:cs="Univers 45 Light" w:ascii="Univers 45 Light" w:hAnsi="Univers 45 Light"/>
                <w:sz w:val="16"/>
              </w:rPr>
            </w:r>
          </w:p>
        </w:tc>
      </w:tr>
      <w:tr>
        <w:trPr>
          <w:trHeight w:val="280" w:hRule="exact"/>
        </w:trPr>
        <w:tc>
          <w:tcPr>
            <w:tcW w:w="875" w:type="dxa"/>
            <w:tcBorders/>
          </w:tcPr>
          <w:p>
            <w:pPr>
              <w:pStyle w:val="KPMGNormal"/>
              <w:snapToGrid w:val="false"/>
              <w:jc w:val="end"/>
              <w:rPr/>
            </w:pPr>
            <w:r>
              <w:rPr/>
            </w:r>
          </w:p>
        </w:tc>
        <w:tc>
          <w:tcPr>
            <w:tcW w:w="6597" w:type="dxa"/>
            <w:gridSpan w:val="3"/>
            <w:tcBorders/>
          </w:tcPr>
          <w:p>
            <w:pPr>
              <w:pStyle w:val="KPMGNormal"/>
              <w:snapToGrid w:val="false"/>
              <w:rPr/>
            </w:pPr>
            <w:r>
              <w:rPr/>
            </w:r>
          </w:p>
        </w:tc>
        <w:tc>
          <w:tcPr>
            <w:tcW w:w="720" w:type="dxa"/>
            <w:gridSpan w:val="2"/>
            <w:tcBorders/>
          </w:tcPr>
          <w:p>
            <w:pPr>
              <w:pStyle w:val="KPMGNormal"/>
              <w:snapToGrid w:val="false"/>
              <w:jc w:val="end"/>
              <w:rPr/>
            </w:pPr>
            <w:r>
              <w:rPr/>
            </w:r>
          </w:p>
        </w:tc>
        <w:tc>
          <w:tcPr>
            <w:tcW w:w="2730" w:type="dxa"/>
            <w:gridSpan w:val="5"/>
            <w:tcBorders/>
          </w:tcPr>
          <w:p>
            <w:pPr>
              <w:pStyle w:val="KPMGNormal"/>
              <w:snapToGrid w:val="false"/>
              <w:rPr/>
            </w:pPr>
            <w:r>
              <w:rPr/>
            </w:r>
          </w:p>
        </w:tc>
        <w:tc>
          <w:tcPr>
            <w:tcW w:w="29" w:type="dxa"/>
            <w:tcBorders/>
            <w:tcMar>
              <w:start w:w="0" w:type="dxa"/>
              <w:end w:w="0" w:type="dxa"/>
            </w:tcMar>
          </w:tcPr>
          <w:p>
            <w:pPr>
              <w:pStyle w:val="Normal"/>
              <w:snapToGrid w:val="false"/>
              <w:rPr/>
            </w:pPr>
            <w:r>
              <w:rPr/>
            </w:r>
          </w:p>
        </w:tc>
      </w:tr>
      <w:tr>
        <w:trPr>
          <w:trHeight w:val="560" w:hRule="exact"/>
        </w:trPr>
        <w:tc>
          <w:tcPr>
            <w:tcW w:w="875" w:type="dxa"/>
            <w:tcBorders/>
          </w:tcPr>
          <w:p>
            <w:pPr>
              <w:pStyle w:val="KPMGNormal"/>
              <w:snapToGrid w:val="false"/>
              <w:jc w:val="end"/>
              <w:rPr>
                <w:b/>
              </w:rPr>
            </w:pPr>
            <w:r>
              <w:rPr>
                <w:b/>
              </w:rPr>
            </w:r>
          </w:p>
        </w:tc>
        <w:tc>
          <w:tcPr>
            <w:tcW w:w="8549" w:type="dxa"/>
            <w:gridSpan w:val="6"/>
            <w:tcBorders/>
          </w:tcPr>
          <w:p>
            <w:pPr>
              <w:pStyle w:val="KPMGSubject"/>
              <w:rPr>
                <w:b w:val="false"/>
              </w:rPr>
            </w:pPr>
            <w:r>
              <w:rPr/>
              <w:t>Power MS Access Deal Reconciliation Solution – Initial Questions</w:t>
            </w:r>
          </w:p>
        </w:tc>
        <w:tc>
          <w:tcPr>
            <w:tcW w:w="1527" w:type="dxa"/>
            <w:gridSpan w:val="5"/>
            <w:tcBorders/>
          </w:tcPr>
          <w:p>
            <w:pPr>
              <w:pStyle w:val="KPMGNormal"/>
              <w:snapToGrid w:val="false"/>
              <w:rPr>
                <w:rFonts w:ascii="Univers 45 Light" w:hAnsi="Univers 45 Light" w:cs="Univers 45 Light"/>
                <w:b/>
                <w:sz w:val="16"/>
              </w:rPr>
            </w:pPr>
            <w:r>
              <w:rPr>
                <w:rFonts w:cs="Univers 45 Light" w:ascii="Univers 45 Light" w:hAnsi="Univers 45 Light"/>
                <w:b/>
                <w:sz w:val="16"/>
              </w:rPr>
            </w:r>
          </w:p>
        </w:tc>
      </w:tr>
    </w:tbl>
    <w:p>
      <w:pPr>
        <w:pStyle w:val="BodyText"/>
        <w:spacing w:before="0" w:after="0"/>
        <w:rPr/>
      </w:pPr>
      <w:r/>
      <w:r>
        <w:rPr/>
        <w:t>To begin the process of designing the technology and process components of our solution for Power Deal Reconciliation, there are a number of areas where we would like to focus.  These areas are each commensurate with their importance to the efficient progress and success of our effort.  Categorically, the focus areas are the following:</w:t>
      </w:r>
    </w:p>
    <w:p>
      <w:pPr>
        <w:pStyle w:val="BodyText"/>
        <w:spacing w:before="0" w:after="0"/>
        <w:rPr/>
      </w:pPr>
      <w:r>
        <w:rPr/>
      </w:r>
    </w:p>
    <w:p>
      <w:pPr>
        <w:pStyle w:val="BodyText"/>
        <w:numPr>
          <w:ilvl w:val="0"/>
          <w:numId w:val="8"/>
        </w:numPr>
        <w:spacing w:before="0" w:after="0"/>
        <w:rPr/>
      </w:pPr>
      <w:r>
        <w:rPr/>
        <w:t>Data Fields</w:t>
      </w:r>
    </w:p>
    <w:p>
      <w:pPr>
        <w:pStyle w:val="BodyText"/>
        <w:numPr>
          <w:ilvl w:val="0"/>
          <w:numId w:val="8"/>
        </w:numPr>
        <w:spacing w:before="0" w:after="0"/>
        <w:rPr/>
      </w:pPr>
      <w:r>
        <w:rPr/>
        <w:t>Source Information (paper, electronic)</w:t>
      </w:r>
    </w:p>
    <w:p>
      <w:pPr>
        <w:pStyle w:val="BodyText"/>
        <w:numPr>
          <w:ilvl w:val="0"/>
          <w:numId w:val="8"/>
        </w:numPr>
        <w:spacing w:before="0" w:after="0"/>
        <w:rPr/>
      </w:pPr>
      <w:r>
        <w:rPr/>
        <w:t>Source Systems</w:t>
      </w:r>
    </w:p>
    <w:p>
      <w:pPr>
        <w:pStyle w:val="BodyText"/>
        <w:numPr>
          <w:ilvl w:val="0"/>
          <w:numId w:val="8"/>
        </w:numPr>
        <w:spacing w:before="0" w:after="0"/>
        <w:rPr/>
      </w:pPr>
      <w:r>
        <w:rPr/>
        <w:t>Contract Types</w:t>
      </w:r>
    </w:p>
    <w:p>
      <w:pPr>
        <w:pStyle w:val="BodyText"/>
        <w:numPr>
          <w:ilvl w:val="0"/>
          <w:numId w:val="8"/>
        </w:numPr>
        <w:spacing w:before="0" w:after="0"/>
        <w:rPr/>
      </w:pPr>
      <w:r>
        <w:rPr/>
        <w:t>Contract Detail Discrepancies</w:t>
      </w:r>
    </w:p>
    <w:p>
      <w:pPr>
        <w:pStyle w:val="BodyText"/>
        <w:numPr>
          <w:ilvl w:val="0"/>
          <w:numId w:val="8"/>
        </w:numPr>
        <w:spacing w:before="0" w:after="0"/>
        <w:rPr/>
      </w:pPr>
      <w:r>
        <w:rPr/>
        <w:t>Resolution Approach</w:t>
      </w:r>
    </w:p>
    <w:p>
      <w:pPr>
        <w:pStyle w:val="BodyText"/>
        <w:numPr>
          <w:ilvl w:val="0"/>
          <w:numId w:val="8"/>
        </w:numPr>
        <w:spacing w:before="0" w:after="0"/>
        <w:rPr/>
      </w:pPr>
      <w:r>
        <w:rPr/>
        <w:t>Database Utilities (user interface, reports)</w:t>
      </w:r>
    </w:p>
    <w:p>
      <w:pPr>
        <w:pStyle w:val="BodyText"/>
        <w:spacing w:before="0" w:after="0"/>
        <w:rPr/>
      </w:pPr>
      <w:r>
        <w:rPr/>
      </w:r>
    </w:p>
    <w:p>
      <w:pPr>
        <w:pStyle w:val="BodyText"/>
        <w:spacing w:before="0" w:after="0"/>
        <w:rPr/>
      </w:pPr>
      <w:r>
        <w:rPr/>
        <w:t>For each the above, we have compiled a set of preliminary questions so as to initiate our work.  Please review these and confirm with us your responses.  In addition to identifying any project hurdles, this information will steer the framework of our information gathering and detailed design activities.</w:t>
      </w:r>
    </w:p>
    <w:p>
      <w:pPr>
        <w:pStyle w:val="BodyText"/>
        <w:spacing w:before="0" w:after="0"/>
        <w:rPr/>
      </w:pPr>
      <w:r>
        <w:rPr/>
      </w:r>
    </w:p>
    <w:p>
      <w:pPr>
        <w:pStyle w:val="BodyText"/>
        <w:spacing w:before="0" w:after="0"/>
        <w:rPr>
          <w:b/>
          <w:bCs/>
          <w:u w:val="single"/>
        </w:rPr>
      </w:pPr>
      <w:r>
        <w:rPr>
          <w:b/>
          <w:bCs/>
          <w:u w:val="single"/>
        </w:rPr>
        <w:t>Contract Types</w:t>
      </w:r>
    </w:p>
    <w:p>
      <w:pPr>
        <w:pStyle w:val="BodyText"/>
        <w:numPr>
          <w:ilvl w:val="0"/>
          <w:numId w:val="4"/>
        </w:numPr>
        <w:spacing w:before="0" w:after="0"/>
        <w:rPr/>
      </w:pPr>
      <w:r>
        <w:rPr/>
        <w:t>What types of contracts do you enter into?</w:t>
      </w:r>
    </w:p>
    <w:p>
      <w:pPr>
        <w:pStyle w:val="BodyText"/>
        <w:numPr>
          <w:ilvl w:val="0"/>
          <w:numId w:val="4"/>
        </w:numPr>
        <w:spacing w:before="0" w:after="0"/>
        <w:rPr/>
      </w:pPr>
      <w:r>
        <w:rPr/>
        <w:t>Is there a majority/minority breakdown of these types based on number of representative contracts?</w:t>
      </w:r>
    </w:p>
    <w:p>
      <w:pPr>
        <w:pStyle w:val="BodyText"/>
        <w:numPr>
          <w:ilvl w:val="0"/>
          <w:numId w:val="4"/>
        </w:numPr>
        <w:spacing w:before="0" w:after="0"/>
        <w:rPr/>
      </w:pPr>
      <w:r>
        <w:rPr/>
        <w:t>Do the different locations enter into certain types of contracts?</w:t>
      </w:r>
    </w:p>
    <w:p>
      <w:pPr>
        <w:pStyle w:val="BodyText"/>
        <w:numPr>
          <w:ilvl w:val="0"/>
          <w:numId w:val="4"/>
        </w:numPr>
        <w:spacing w:before="0" w:after="0"/>
        <w:rPr/>
      </w:pPr>
      <w:r>
        <w:rPr/>
        <w:t>Are there particular relationships with some entities where unique contracts exist?  What are the details?</w:t>
      </w:r>
    </w:p>
    <w:p>
      <w:pPr>
        <w:pStyle w:val="BodyText"/>
        <w:spacing w:before="0" w:after="0"/>
        <w:rPr/>
      </w:pPr>
      <w:r>
        <w:rPr/>
      </w:r>
    </w:p>
    <w:p>
      <w:pPr>
        <w:pStyle w:val="BodyText"/>
        <w:spacing w:before="0" w:after="0"/>
        <w:rPr>
          <w:b/>
          <w:bCs/>
          <w:u w:val="single"/>
        </w:rPr>
      </w:pPr>
      <w:r>
        <w:rPr>
          <w:b/>
          <w:bCs/>
          <w:u w:val="single"/>
        </w:rPr>
        <w:t>Data Fields</w:t>
      </w:r>
    </w:p>
    <w:p>
      <w:pPr>
        <w:pStyle w:val="BodyText"/>
        <w:numPr>
          <w:ilvl w:val="0"/>
          <w:numId w:val="3"/>
        </w:numPr>
        <w:spacing w:before="0" w:after="0"/>
        <w:rPr/>
      </w:pPr>
      <w:r>
        <w:rPr/>
        <w:t>In order to accurately and completely capture deals, what are the required data elements?</w:t>
      </w:r>
    </w:p>
    <w:p>
      <w:pPr>
        <w:pStyle w:val="BodyText"/>
        <w:numPr>
          <w:ilvl w:val="0"/>
          <w:numId w:val="3"/>
        </w:numPr>
        <w:spacing w:before="0" w:after="0"/>
        <w:rPr/>
      </w:pPr>
      <w:r>
        <w:rPr/>
        <w:t>Do any of these data elements require particular typing (e.g., text vs. numerical, length, etc.)?</w:t>
      </w:r>
    </w:p>
    <w:p>
      <w:pPr>
        <w:pStyle w:val="BodyText"/>
        <w:numPr>
          <w:ilvl w:val="0"/>
          <w:numId w:val="3"/>
        </w:numPr>
        <w:spacing w:before="0" w:after="0"/>
        <w:rPr/>
      </w:pPr>
      <w:r>
        <w:rPr/>
        <w:t>What calculations or formatting do any of these data elements require?</w:t>
      </w:r>
    </w:p>
    <w:p>
      <w:pPr>
        <w:pStyle w:val="BodyText"/>
        <w:numPr>
          <w:ilvl w:val="0"/>
          <w:numId w:val="3"/>
        </w:numPr>
        <w:spacing w:before="0" w:after="0"/>
        <w:rPr/>
      </w:pPr>
      <w:r>
        <w:rPr/>
        <w:t>Can any of the fields be selected from drop down lists?  Which ones?  What are the values?</w:t>
      </w:r>
    </w:p>
    <w:p>
      <w:pPr>
        <w:pStyle w:val="BodyText"/>
        <w:spacing w:before="0" w:after="0"/>
        <w:rPr/>
      </w:pPr>
      <w:r>
        <w:rPr/>
      </w:r>
    </w:p>
    <w:p>
      <w:pPr>
        <w:pStyle w:val="BodyText"/>
        <w:spacing w:before="0" w:after="0"/>
        <w:rPr>
          <w:b/>
          <w:bCs/>
          <w:u w:val="single"/>
        </w:rPr>
      </w:pPr>
      <w:r>
        <w:rPr>
          <w:b/>
          <w:bCs/>
          <w:u w:val="single"/>
        </w:rPr>
        <w:t>Source Information</w:t>
      </w:r>
    </w:p>
    <w:p>
      <w:pPr>
        <w:pStyle w:val="BodyText"/>
        <w:numPr>
          <w:ilvl w:val="0"/>
          <w:numId w:val="2"/>
        </w:numPr>
        <w:spacing w:before="0" w:after="0"/>
        <w:rPr/>
      </w:pPr>
      <w:r>
        <w:rPr/>
        <w:t>What are the different methods by which deal information is captured?</w:t>
      </w:r>
    </w:p>
    <w:p>
      <w:pPr>
        <w:pStyle w:val="BodyText"/>
        <w:numPr>
          <w:ilvl w:val="0"/>
          <w:numId w:val="2"/>
        </w:numPr>
        <w:spacing w:before="0" w:after="0"/>
        <w:rPr/>
      </w:pPr>
      <w:r>
        <w:rPr/>
        <w:t>Who maintains the information captured by each of these methods?</w:t>
      </w:r>
    </w:p>
    <w:p>
      <w:pPr>
        <w:pStyle w:val="BodyText"/>
        <w:numPr>
          <w:ilvl w:val="0"/>
          <w:numId w:val="2"/>
        </w:numPr>
        <w:spacing w:before="0" w:after="0"/>
        <w:rPr/>
      </w:pPr>
      <w:r>
        <w:rPr/>
        <w:t>What requirements are currently in place to ensure accurate and complete deal information capture?</w:t>
      </w:r>
    </w:p>
    <w:p>
      <w:pPr>
        <w:pStyle w:val="BodyText"/>
        <w:numPr>
          <w:ilvl w:val="0"/>
          <w:numId w:val="2"/>
        </w:numPr>
        <w:spacing w:before="0" w:after="0"/>
        <w:rPr/>
      </w:pPr>
      <w:r>
        <w:rPr/>
        <w:t>Does deal information change regularly?  Which fields and why?  Who executes the changes?</w:t>
      </w:r>
    </w:p>
    <w:p>
      <w:pPr>
        <w:pStyle w:val="BodyText"/>
        <w:numPr>
          <w:ilvl w:val="0"/>
          <w:numId w:val="2"/>
        </w:numPr>
        <w:spacing w:before="0" w:after="0"/>
        <w:rPr/>
      </w:pPr>
      <w:r>
        <w:rPr/>
        <w:t>Are there any particularly complex deal information components that require a lot of maintenance?</w:t>
      </w:r>
    </w:p>
    <w:p>
      <w:pPr>
        <w:pStyle w:val="BodyText"/>
        <w:spacing w:before="0" w:after="0"/>
        <w:rPr/>
      </w:pPr>
      <w:r>
        <w:rPr/>
      </w:r>
    </w:p>
    <w:p>
      <w:pPr>
        <w:pStyle w:val="BodyText"/>
        <w:spacing w:before="0" w:after="0"/>
        <w:rPr>
          <w:b/>
          <w:bCs/>
          <w:u w:val="single"/>
        </w:rPr>
      </w:pPr>
      <w:r>
        <w:rPr>
          <w:b/>
          <w:bCs/>
          <w:u w:val="single"/>
        </w:rPr>
        <w:t>Source Systems</w:t>
      </w:r>
    </w:p>
    <w:p>
      <w:pPr>
        <w:pStyle w:val="BodyText"/>
        <w:numPr>
          <w:ilvl w:val="0"/>
          <w:numId w:val="11"/>
        </w:numPr>
        <w:spacing w:before="0" w:after="0"/>
        <w:rPr/>
      </w:pPr>
      <w:r>
        <w:rPr/>
        <w:t>What are the different systems wherein deal information is stored?</w:t>
      </w:r>
    </w:p>
    <w:p>
      <w:pPr>
        <w:pStyle w:val="BodyText"/>
        <w:numPr>
          <w:ilvl w:val="0"/>
          <w:numId w:val="11"/>
        </w:numPr>
        <w:spacing w:before="0" w:after="0"/>
        <w:rPr/>
      </w:pPr>
      <w:r>
        <w:rPr/>
        <w:t>Who has access to the information in each system?</w:t>
      </w:r>
    </w:p>
    <w:p>
      <w:pPr>
        <w:pStyle w:val="BodyText"/>
        <w:numPr>
          <w:ilvl w:val="0"/>
          <w:numId w:val="11"/>
        </w:numPr>
        <w:spacing w:before="0" w:after="0"/>
        <w:rPr/>
      </w:pPr>
      <w:r>
        <w:rPr/>
        <w:t>Are there any systems that will serve as unique information sources for the deal reconciliation effort?</w:t>
      </w:r>
    </w:p>
    <w:p>
      <w:pPr>
        <w:pStyle w:val="BodyText"/>
        <w:numPr>
          <w:ilvl w:val="0"/>
          <w:numId w:val="11"/>
        </w:numPr>
        <w:spacing w:before="0" w:after="0"/>
        <w:rPr/>
      </w:pPr>
      <w:r>
        <w:rPr/>
        <w:t>Which are these systems? Who is the main contact there?</w:t>
      </w:r>
    </w:p>
    <w:p>
      <w:pPr>
        <w:pStyle w:val="BodyText"/>
        <w:numPr>
          <w:ilvl w:val="0"/>
          <w:numId w:val="11"/>
        </w:numPr>
        <w:spacing w:before="0" w:after="0"/>
        <w:rPr/>
      </w:pPr>
      <w:r>
        <w:rPr/>
        <w:t>Are data extraction utilities available for each system?</w:t>
      </w:r>
    </w:p>
    <w:p>
      <w:pPr>
        <w:pStyle w:val="BodyText"/>
        <w:spacing w:before="0" w:after="0"/>
        <w:rPr/>
      </w:pPr>
      <w:r>
        <w:rPr/>
      </w:r>
    </w:p>
    <w:p>
      <w:pPr>
        <w:pStyle w:val="BodyText"/>
        <w:spacing w:before="0" w:after="0"/>
        <w:rPr>
          <w:b/>
          <w:bCs/>
          <w:u w:val="single"/>
        </w:rPr>
      </w:pPr>
      <w:r>
        <w:rPr>
          <w:b/>
          <w:bCs/>
          <w:u w:val="single"/>
        </w:rPr>
        <w:t>Contract Detail Discrepancies</w:t>
      </w:r>
    </w:p>
    <w:p>
      <w:pPr>
        <w:pStyle w:val="BodyText"/>
        <w:numPr>
          <w:ilvl w:val="0"/>
          <w:numId w:val="5"/>
        </w:numPr>
        <w:spacing w:before="0" w:after="0"/>
        <w:rPr/>
      </w:pPr>
      <w:r>
        <w:rPr/>
        <w:t>What are the different locations involved with deal capture activities?</w:t>
      </w:r>
    </w:p>
    <w:p>
      <w:pPr>
        <w:pStyle w:val="BodyText"/>
        <w:numPr>
          <w:ilvl w:val="0"/>
          <w:numId w:val="5"/>
        </w:numPr>
        <w:spacing w:before="0" w:after="0"/>
        <w:rPr/>
      </w:pPr>
      <w:r>
        <w:rPr/>
        <w:t>What communication protocols exist among these groups?</w:t>
      </w:r>
    </w:p>
    <w:p>
      <w:pPr>
        <w:pStyle w:val="BodyText"/>
        <w:numPr>
          <w:ilvl w:val="0"/>
          <w:numId w:val="5"/>
        </w:numPr>
        <w:spacing w:before="0" w:after="0"/>
        <w:rPr/>
      </w:pPr>
      <w:r>
        <w:rPr/>
        <w:t>Which fields are the most crucial to accurate and complete deal capture?</w:t>
      </w:r>
    </w:p>
    <w:p>
      <w:pPr>
        <w:pStyle w:val="BodyText"/>
        <w:numPr>
          <w:ilvl w:val="0"/>
          <w:numId w:val="5"/>
        </w:numPr>
        <w:spacing w:before="0" w:after="0"/>
        <w:rPr/>
      </w:pPr>
      <w:r>
        <w:rPr/>
        <w:t>What are the different types of discrepancies among information sources?</w:t>
      </w:r>
    </w:p>
    <w:p>
      <w:pPr>
        <w:pStyle w:val="BodyText"/>
        <w:spacing w:before="0" w:after="0"/>
        <w:rPr/>
      </w:pPr>
      <w:r>
        <w:rPr/>
      </w:r>
    </w:p>
    <w:p>
      <w:pPr>
        <w:pStyle w:val="BodyText"/>
        <w:spacing w:before="0" w:after="0"/>
        <w:rPr>
          <w:b/>
          <w:bCs/>
          <w:u w:val="single"/>
        </w:rPr>
      </w:pPr>
      <w:r>
        <w:rPr>
          <w:b/>
          <w:bCs/>
          <w:u w:val="single"/>
        </w:rPr>
        <w:t xml:space="preserve">Resolution Approach </w:t>
      </w:r>
    </w:p>
    <w:p>
      <w:pPr>
        <w:pStyle w:val="BodyText"/>
        <w:numPr>
          <w:ilvl w:val="0"/>
          <w:numId w:val="6"/>
        </w:numPr>
        <w:spacing w:before="0" w:after="0"/>
        <w:rPr/>
      </w:pPr>
      <w:r>
        <w:rPr/>
        <w:t>What information source reigns in a discrepancy situation?</w:t>
      </w:r>
    </w:p>
    <w:p>
      <w:pPr>
        <w:pStyle w:val="BodyText"/>
        <w:numPr>
          <w:ilvl w:val="0"/>
          <w:numId w:val="6"/>
        </w:numPr>
        <w:spacing w:before="0" w:after="0"/>
        <w:rPr/>
      </w:pPr>
      <w:r>
        <w:rPr/>
        <w:t>What procedures do you require in resolving a discrepancy?</w:t>
      </w:r>
    </w:p>
    <w:p>
      <w:pPr>
        <w:pStyle w:val="BodyText"/>
        <w:numPr>
          <w:ilvl w:val="0"/>
          <w:numId w:val="6"/>
        </w:numPr>
        <w:spacing w:before="0" w:after="0"/>
        <w:rPr/>
      </w:pPr>
      <w:r>
        <w:rPr/>
        <w:t>Do you require a modification trail of each deal record?</w:t>
      </w:r>
    </w:p>
    <w:p>
      <w:pPr>
        <w:pStyle w:val="BodyText"/>
        <w:numPr>
          <w:ilvl w:val="0"/>
          <w:numId w:val="6"/>
        </w:numPr>
        <w:spacing w:before="0" w:after="0"/>
        <w:rPr/>
      </w:pPr>
      <w:r>
        <w:rPr/>
        <w:t>Should all information sources be updated according to the reconciliation outcome?</w:t>
      </w:r>
    </w:p>
    <w:p>
      <w:pPr>
        <w:pStyle w:val="BodyText"/>
        <w:numPr>
          <w:ilvl w:val="0"/>
          <w:numId w:val="6"/>
        </w:numPr>
        <w:spacing w:before="0" w:after="0"/>
        <w:rPr/>
      </w:pPr>
      <w:r>
        <w:rPr/>
        <w:t>How would you like to handle those activities?</w:t>
      </w:r>
    </w:p>
    <w:p>
      <w:pPr>
        <w:pStyle w:val="BodyText"/>
        <w:spacing w:before="0" w:after="0"/>
        <w:rPr/>
      </w:pPr>
      <w:r>
        <w:rPr/>
      </w:r>
    </w:p>
    <w:p>
      <w:pPr>
        <w:pStyle w:val="BodyText"/>
        <w:spacing w:before="0" w:after="0"/>
        <w:rPr>
          <w:b/>
          <w:bCs/>
          <w:u w:val="single"/>
        </w:rPr>
      </w:pPr>
      <w:r>
        <w:rPr>
          <w:b/>
          <w:bCs/>
          <w:u w:val="single"/>
        </w:rPr>
        <w:t>Database Utilities</w:t>
      </w:r>
    </w:p>
    <w:p>
      <w:pPr>
        <w:pStyle w:val="BodyText"/>
        <w:numPr>
          <w:ilvl w:val="0"/>
          <w:numId w:val="7"/>
        </w:numPr>
        <w:spacing w:before="0" w:after="0"/>
        <w:rPr/>
      </w:pPr>
      <w:r>
        <w:rPr/>
        <w:t>What utilities do you require in the MS Access solution?</w:t>
      </w:r>
    </w:p>
    <w:p>
      <w:pPr>
        <w:pStyle w:val="BodyText"/>
        <w:numPr>
          <w:ilvl w:val="0"/>
          <w:numId w:val="7"/>
        </w:numPr>
        <w:spacing w:before="0" w:after="0"/>
        <w:rPr/>
      </w:pPr>
      <w:r>
        <w:rPr/>
        <w:t>Do you have any preference as to the user interface look-and-feel or functionality?</w:t>
      </w:r>
    </w:p>
    <w:p>
      <w:pPr>
        <w:pStyle w:val="BodyText"/>
        <w:numPr>
          <w:ilvl w:val="0"/>
          <w:numId w:val="7"/>
        </w:numPr>
        <w:spacing w:before="0" w:after="0"/>
        <w:rPr/>
      </w:pPr>
      <w:r>
        <w:rPr/>
        <w:t>What types of reports would you like?</w:t>
      </w:r>
    </w:p>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 w:name="Liberation Sans">
    <w:altName w:val="Arial"/>
    <w:charset w:val="01" w:characterSet="utf-8"/>
    <w:family w:val="swiss"/>
    <w:pitch w:val="variable"/>
  </w:font>
  <w:font w:name="Univers 55">
    <w:charset w:val="00" w:characterSet="windows-1252"/>
    <w:family w:val="swiss"/>
    <w:pitch w:val="variable"/>
  </w:font>
  <w:font w:name="KPMG Logo">
    <w:charset w:val="00" w:characterSet="windows-1252"/>
    <w:family w:val="auto"/>
    <w:pitch w:val="variable"/>
  </w:font>
  <w:font w:name="Univers 45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o"/>
      <w:lvlJc w:val="start"/>
      <w:pPr>
        <w:tabs>
          <w:tab w:val="num" w:pos="927"/>
        </w:tabs>
        <w:ind w:start="927" w:hanging="360"/>
      </w:pPr>
      <w:rPr>
        <w:rFonts w:ascii="Courier New" w:hAnsi="Courier New" w:cs="Courier New" w:hint="default"/>
      </w:rPr>
    </w:lvl>
  </w:abstractNum>
  <w:abstractNum w:abstractNumId="9">
    <w:lvl w:ilvl="0">
      <w:start w:val="1"/>
      <w:numFmt w:val="bullet"/>
      <w:lvlText w:val=""/>
      <w:lvlJc w:val="start"/>
      <w:pPr>
        <w:tabs>
          <w:tab w:val="num" w:pos="340"/>
        </w:tabs>
        <w:ind w:start="340" w:hanging="340"/>
      </w:pPr>
      <w:rPr>
        <w:rFonts w:ascii="Wingdings" w:hAnsi="Wingdings" w:cs="Wingdings" w:hint="default"/>
        <w:sz w:val="18"/>
      </w:rPr>
    </w:lvl>
  </w:abstractNum>
  <w:abstractNum w:abstractNumId="10">
    <w:lvl w:ilvl="0">
      <w:start w:val="1"/>
      <w:numFmt w:val="bullet"/>
      <w:lvlText w:val="-"/>
      <w:lvlJc w:val="start"/>
      <w:pPr>
        <w:tabs>
          <w:tab w:val="num" w:pos="680"/>
        </w:tabs>
        <w:ind w:start="680" w:hanging="340"/>
      </w:pPr>
      <w:rPr>
        <w:rFonts w:ascii="Times New Roman" w:hAnsi="Times New Roman" w:cs="Times New Roman"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60"/>
    </w:pPr>
    <w:rPr>
      <w:rFonts w:ascii="Times New Roman" w:hAnsi="Times New Roman" w:eastAsia="Times New Roman" w:cs="Times New Roman"/>
      <w:color w:val="auto"/>
      <w:sz w:val="22"/>
      <w:szCs w:val="20"/>
      <w:lang w:val="en-US" w:bidi="ar-SA" w:eastAsia="zh-CN"/>
    </w:rPr>
  </w:style>
  <w:style w:type="paragraph" w:styleId="Heading1">
    <w:name w:val="heading 1"/>
    <w:basedOn w:val="Heading2"/>
    <w:next w:val="BodyText"/>
    <w:qFormat/>
    <w:pPr>
      <w:numPr>
        <w:ilvl w:val="0"/>
        <w:numId w:val="1"/>
      </w:numPr>
      <w:outlineLvl w:val="0"/>
    </w:pPr>
    <w:rPr>
      <w:i w:val="false"/>
    </w:rPr>
  </w:style>
  <w:style w:type="paragraph" w:styleId="Heading2">
    <w:name w:val="heading 2"/>
    <w:basedOn w:val="Heading3"/>
    <w:next w:val="BodyText"/>
    <w:qFormat/>
    <w:pPr>
      <w:numPr>
        <w:ilvl w:val="1"/>
        <w:numId w:val="1"/>
      </w:numPr>
      <w:spacing w:lineRule="atLeast" w:line="280"/>
      <w:outlineLvl w:val="1"/>
    </w:pPr>
    <w:rPr>
      <w:b/>
      <w:sz w:val="24"/>
    </w:rPr>
  </w:style>
  <w:style w:type="paragraph" w:styleId="Heading3">
    <w:name w:val="heading 3"/>
    <w:basedOn w:val="BodyText"/>
    <w:next w:val="BodyText"/>
    <w:qFormat/>
    <w:pPr>
      <w:keepNext w:val="true"/>
      <w:keepLines/>
      <w:numPr>
        <w:ilvl w:val="2"/>
        <w:numId w:val="1"/>
      </w:numPr>
      <w:spacing w:before="130" w:after="0"/>
      <w:outlineLvl w:val="2"/>
    </w:pPr>
    <w:rPr>
      <w:i/>
    </w:rPr>
  </w:style>
  <w:style w:type="paragraph" w:styleId="Heading4">
    <w:name w:val="heading 4"/>
    <w:basedOn w:val="BodyText"/>
    <w:next w:val="BodyText"/>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rFonts w:ascii="Wingdings" w:hAnsi="Wingdings" w:cs="Wingdings"/>
      <w:sz w:val="18"/>
    </w:rPr>
  </w:style>
  <w:style w:type="character" w:styleId="WW8Num2z0">
    <w:name w:val="WW8Num2z0"/>
    <w:qFormat/>
    <w:rPr>
      <w:rFonts w:ascii="Wingdings" w:hAnsi="Wingdings" w:cs="Wingdings"/>
      <w:sz w:val="18"/>
    </w:rPr>
  </w:style>
  <w:style w:type="character" w:styleId="WW8Num3z0">
    <w:name w:val="WW8Num3z0"/>
    <w:qFormat/>
    <w:rPr>
      <w:rFonts w:ascii="Symbol" w:hAnsi="Symbol" w:cs="Symbol"/>
    </w:rPr>
  </w:style>
  <w:style w:type="character" w:styleId="WW8Num3z1">
    <w:name w:val="WW8Num3z1"/>
    <w:qFormat/>
    <w:rPr>
      <w:rFonts w:ascii="Wingdings" w:hAnsi="Wingdings" w:cs="Wingdings"/>
      <w:sz w:val="18"/>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sz w:val="18"/>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ms Rmn;Times New Roman" w:hAnsi="Tms Rmn;Times New Roman" w:cs="Tms Rmn;Times New Roman"/>
    </w:rPr>
  </w:style>
  <w:style w:type="character" w:styleId="WW8Num12z0">
    <w:name w:val="WW8Num12z0"/>
    <w:qFormat/>
    <w:rPr>
      <w:rFonts w:ascii="Wingdings" w:hAnsi="Wingdings" w:cs="Wingdings"/>
      <w:sz w:val="18"/>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sz w:val="18"/>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Tms Rmn;Times New Roman" w:hAnsi="Tms Rmn;Times New Roman" w:cs="Tms Rmn;Times New Roman"/>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30" w:after="13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340" w:end="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right" w:pos="8505" w:leader="none"/>
      </w:tabs>
    </w:pPr>
    <w:rPr>
      <w:sz w:val="18"/>
    </w:rPr>
  </w:style>
  <w:style w:type="paragraph" w:styleId="Header">
    <w:name w:val="header"/>
    <w:basedOn w:val="Normal"/>
    <w:pPr>
      <w:spacing w:lineRule="exact" w:line="220"/>
      <w:jc w:val="end"/>
    </w:pPr>
    <w:rPr>
      <w:i/>
      <w:sz w:val="18"/>
    </w:rPr>
  </w:style>
  <w:style w:type="paragraph" w:styleId="ListBullet">
    <w:name w:val="List Bullet"/>
    <w:basedOn w:val="BodyText"/>
    <w:qFormat/>
    <w:pPr>
      <w:numPr>
        <w:ilvl w:val="0"/>
        <w:numId w:val="9"/>
      </w:numPr>
      <w:spacing w:before="0" w:after="130"/>
    </w:pPr>
    <w:rPr/>
  </w:style>
  <w:style w:type="paragraph" w:styleId="FootnoteText">
    <w:name w:val="footnote text"/>
    <w:basedOn w:val="Normal"/>
    <w:pPr/>
    <w:rPr>
      <w:sz w:val="18"/>
    </w:rPr>
  </w:style>
  <w:style w:type="paragraph" w:styleId="Signature">
    <w:name w:val="Signature"/>
    <w:basedOn w:val="Normal"/>
    <w:pPr>
      <w:spacing w:lineRule="auto" w:line="240"/>
    </w:pPr>
    <w:rPr/>
  </w:style>
  <w:style w:type="paragraph" w:styleId="Graphic">
    <w:name w:val="Graphic"/>
    <w:basedOn w:val="Signature"/>
    <w:qFormat/>
    <w:pPr>
      <w:pBdr>
        <w:top w:val="single" w:sz="6" w:space="1" w:color="000000"/>
        <w:left w:val="single" w:sz="6" w:space="1" w:color="000000"/>
        <w:bottom w:val="single" w:sz="6" w:space="1" w:color="000000"/>
        <w:right w:val="single" w:sz="6" w:space="1" w:color="000000"/>
      </w:pBdr>
      <w:jc w:val="center"/>
    </w:pPr>
    <w:rPr/>
  </w:style>
  <w:style w:type="paragraph" w:styleId="ListBullet2">
    <w:name w:val="List Bullet 2"/>
    <w:basedOn w:val="ListBullet"/>
    <w:qFormat/>
    <w:pPr>
      <w:numPr>
        <w:ilvl w:val="0"/>
        <w:numId w:val="10"/>
      </w:numPr>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60"/>
    </w:pPr>
    <w:rPr>
      <w:rFonts w:ascii="Courier New" w:hAnsi="Courier New" w:eastAsia="Times New Roman" w:cs="Courier New"/>
      <w:color w:val="auto"/>
      <w:sz w:val="18"/>
      <w:szCs w:val="20"/>
      <w:lang w:val="en-GB" w:bidi="ar-SA" w:eastAsia="zh-CN"/>
    </w:rPr>
  </w:style>
  <w:style w:type="paragraph" w:styleId="KPMGNormal">
    <w:name w:val="KPMGNormal"/>
    <w:qFormat/>
    <w:pPr>
      <w:widowControl/>
      <w:bidi w:val="0"/>
      <w:spacing w:lineRule="exact" w:line="280"/>
    </w:pPr>
    <w:rPr>
      <w:rFonts w:ascii="Times New Roman" w:hAnsi="Times New Roman" w:eastAsia="Times New Roman" w:cs="Times New Roman"/>
      <w:color w:val="auto"/>
      <w:sz w:val="24"/>
      <w:szCs w:val="20"/>
      <w:lang w:val="en-US" w:bidi="ar-SA" w:eastAsia="zh-CN"/>
    </w:rPr>
  </w:style>
  <w:style w:type="paragraph" w:styleId="KPMGMemoBranding">
    <w:name w:val="KPMGMemoBranding"/>
    <w:basedOn w:val="KPMGNormal"/>
    <w:qFormat/>
    <w:pPr>
      <w:tabs>
        <w:tab w:val="clear" w:pos="567"/>
        <w:tab w:val="left" w:pos="2592" w:leader="none"/>
      </w:tabs>
    </w:pPr>
    <w:rPr>
      <w:rFonts w:ascii="Univers 55" w:hAnsi="Univers 55" w:cs="Univers 55"/>
      <w:sz w:val="16"/>
    </w:rPr>
  </w:style>
  <w:style w:type="paragraph" w:styleId="KPMGMemoLogo">
    <w:name w:val="KPMGMemoLogo"/>
    <w:basedOn w:val="KPMGNormal"/>
    <w:qFormat/>
    <w:pPr>
      <w:tabs>
        <w:tab w:val="clear" w:pos="567"/>
        <w:tab w:val="left" w:pos="1037" w:leader="none"/>
        <w:tab w:val="left" w:pos="2592" w:leader="none"/>
      </w:tabs>
      <w:spacing w:lineRule="auto" w:line="240" w:before="0" w:after="60"/>
    </w:pPr>
    <w:rPr>
      <w:rFonts w:ascii="KPMG Logo" w:hAnsi="KPMG Logo" w:cs="KPMG Logo"/>
      <w:sz w:val="44"/>
      <w:lang w:val="en-CA" w:eastAsia="en-CA"/>
    </w:rPr>
  </w:style>
  <w:style w:type="paragraph" w:styleId="KPMGMemoToFrom">
    <w:name w:val="KPMGMemoToFrom"/>
    <w:basedOn w:val="KPMGNormal"/>
    <w:qFormat/>
    <w:pPr>
      <w:jc w:val="end"/>
    </w:pPr>
    <w:rPr>
      <w:rFonts w:ascii="Univers 45 Light" w:hAnsi="Univers 45 Light" w:cs="Univers 45 Light"/>
      <w:sz w:val="16"/>
      <w:lang w:val="en-CA" w:eastAsia="en-CA"/>
    </w:rPr>
  </w:style>
  <w:style w:type="paragraph" w:styleId="KPMGSubject">
    <w:name w:val="KPMGSubject"/>
    <w:basedOn w:val="KPMGNormal"/>
    <w:qFormat/>
    <w:pPr/>
    <w:rPr>
      <w:b/>
    </w:rPr>
  </w:style>
  <w:style w:type="paragraph" w:styleId="KPMGGraphic">
    <w:name w:val="KPMGGraphic"/>
    <w:basedOn w:val="KPMGNormal"/>
    <w:qFormat/>
    <w:pPr>
      <w:spacing w:lineRule="auto" w:line="24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2000-11-22T12:40:00Z</dcterms:created>
  <dc:creator>Joshua P. Galvan, IRM, Houston, TX</dc:creator>
  <dc:description/>
  <dc:language>en-CA</dc:language>
  <cp:lastModifiedBy>Joshua P. Galvan, Information Risk Management</cp:lastModifiedBy>
  <cp:lastPrinted>2001-02-01T09:28:00Z</cp:lastPrinted>
  <dcterms:modified xsi:type="dcterms:W3CDTF">2001-08-23T15:54:00Z</dcterms:modified>
  <cp:revision>45</cp:revision>
  <dc:subject/>
  <dc:title>Blank document</dc:title>
</cp:coreProperties>
</file>