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Enron Corporate Qualifications and Solution Overview</w:t>
      </w:r>
    </w:p>
    <w:p>
      <w:pPr>
        <w:pStyle w:val="Normal"/>
        <w:jc w:val="center"/>
        <w:rPr>
          <w:b/>
          <w:bCs/>
        </w:rPr>
      </w:pPr>
      <w:r>
        <w:rPr>
          <w:b/>
          <w:bCs/>
        </w:rPr>
        <w:t>March 15, 2001</w:t>
      </w:r>
    </w:p>
    <w:p>
      <w:pPr>
        <w:pStyle w:val="Normal"/>
        <w:rPr/>
      </w:pPr>
      <w:r>
        <w:rPr/>
      </w:r>
      <w:r>
        <w:br w:type="page"/>
      </w:r>
    </w:p>
    <w:p>
      <w:pPr>
        <w:pStyle w:val="Normal"/>
        <w:rPr/>
      </w:pPr>
      <w:r>
        <w:rPr/>
        <w:t>Table of Contents</w:t>
      </w:r>
    </w:p>
    <w:p>
      <w:pPr>
        <w:pStyle w:val="Normal"/>
        <w:rPr/>
      </w:pPr>
      <w:r>
        <w:rPr/>
      </w:r>
    </w:p>
    <w:p>
      <w:pPr>
        <w:pStyle w:val="Normal"/>
        <w:rPr/>
      </w:pPr>
      <w:r>
        <w:rPr/>
      </w:r>
    </w:p>
    <w:p>
      <w:pPr>
        <w:pStyle w:val="Normal"/>
        <w:rPr/>
      </w:pPr>
      <w:r>
        <w:rPr/>
      </w:r>
    </w:p>
    <w:p>
      <w:pPr>
        <w:pStyle w:val="Normal"/>
        <w:rPr/>
      </w:pPr>
      <w:r>
        <w:rPr/>
        <w:t>1.0</w:t>
        <w:tab/>
        <w:t xml:space="preserve">Company Background and Mission </w:t>
      </w:r>
    </w:p>
    <w:p>
      <w:pPr>
        <w:pStyle w:val="Normal"/>
        <w:rPr/>
      </w:pPr>
      <w:r>
        <w:rPr/>
      </w:r>
    </w:p>
    <w:p>
      <w:pPr>
        <w:pStyle w:val="Normal"/>
        <w:rPr/>
      </w:pPr>
      <w:r>
        <w:rPr/>
      </w:r>
    </w:p>
    <w:p>
      <w:pPr>
        <w:pStyle w:val="Normal"/>
        <w:rPr/>
      </w:pPr>
      <w:r>
        <w:rPr/>
        <w:t>2.0</w:t>
        <w:tab/>
        <w:t>Enron Products and Industries Served</w:t>
      </w:r>
    </w:p>
    <w:p>
      <w:pPr>
        <w:pStyle w:val="Normal"/>
        <w:rPr/>
      </w:pPr>
      <w:r>
        <w:rPr/>
      </w:r>
    </w:p>
    <w:p>
      <w:pPr>
        <w:pStyle w:val="Normal"/>
        <w:rPr/>
      </w:pPr>
      <w:r>
        <w:rPr/>
      </w:r>
    </w:p>
    <w:p>
      <w:pPr>
        <w:pStyle w:val="Normal"/>
        <w:rPr/>
      </w:pPr>
      <w:r>
        <w:rPr/>
        <w:t>3.0</w:t>
        <w:tab/>
        <w:t>Enron Software Solutions</w:t>
      </w:r>
    </w:p>
    <w:p>
      <w:pPr>
        <w:pStyle w:val="Normal"/>
        <w:rPr/>
      </w:pPr>
      <w:r>
        <w:rPr/>
      </w:r>
    </w:p>
    <w:p>
      <w:pPr>
        <w:pStyle w:val="Normal"/>
        <w:rPr/>
      </w:pPr>
      <w:r>
        <w:rPr/>
      </w:r>
    </w:p>
    <w:p>
      <w:pPr>
        <w:pStyle w:val="Normal"/>
        <w:rPr/>
      </w:pPr>
      <w:r>
        <w:rPr/>
        <w:t>4.0</w:t>
        <w:tab/>
        <w:t xml:space="preserve">Enron Systems Success Profile </w:t>
      </w:r>
    </w:p>
    <w:p>
      <w:pPr>
        <w:pStyle w:val="Normal"/>
        <w:rPr/>
      </w:pPr>
      <w:r>
        <w:rPr/>
      </w:r>
    </w:p>
    <w:p>
      <w:pPr>
        <w:pStyle w:val="Normal"/>
        <w:rPr/>
      </w:pPr>
      <w:r>
        <w:rPr/>
      </w:r>
    </w:p>
    <w:p>
      <w:pPr>
        <w:pStyle w:val="Normal"/>
        <w:numPr>
          <w:ilvl w:val="0"/>
          <w:numId w:val="7"/>
        </w:numPr>
        <w:rPr/>
      </w:pPr>
      <w:r>
        <w:rPr/>
        <w:t>Pricing for Software and Services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Appendices:</w:t>
      </w:r>
    </w:p>
    <w:p>
      <w:pPr>
        <w:pStyle w:val="Normal"/>
        <w:rPr/>
      </w:pPr>
      <w:r>
        <w:rPr/>
      </w:r>
    </w:p>
    <w:p>
      <w:pPr>
        <w:pStyle w:val="Normal"/>
        <w:rPr/>
      </w:pPr>
      <w:r>
        <w:rPr/>
        <w:t xml:space="preserve">Technology Architecture Presentation </w:t>
      </w:r>
    </w:p>
    <w:p>
      <w:pPr>
        <w:pStyle w:val="Normal"/>
        <w:rPr/>
      </w:pPr>
      <w:r>
        <w:rPr/>
        <w:t>Enron Financial Viability Statistics – Annual Report</w:t>
      </w:r>
    </w:p>
    <w:p>
      <w:pPr>
        <w:pStyle w:val="Normal"/>
        <w:rPr/>
      </w:pPr>
      <w:r>
        <w:rPr/>
        <w:t>Reference Visit Information – Sites Information</w:t>
      </w:r>
    </w:p>
    <w:p>
      <w:pPr>
        <w:pStyle w:val="Normal"/>
        <w:rPr/>
      </w:pPr>
      <w:r>
        <w:rPr/>
        <w:t>Key Team Members – Example Resumes</w:t>
      </w:r>
    </w:p>
    <w:p>
      <w:pPr>
        <w:pStyle w:val="Normal"/>
        <w:rPr/>
      </w:pPr>
      <w:r>
        <w:rPr/>
      </w:r>
      <w:r>
        <w:br w:type="page"/>
      </w:r>
    </w:p>
    <w:p>
      <w:pPr>
        <w:pStyle w:val="Normal"/>
        <w:numPr>
          <w:ilvl w:val="0"/>
          <w:numId w:val="5"/>
        </w:numPr>
        <w:rPr>
          <w:b/>
          <w:bCs/>
        </w:rPr>
      </w:pPr>
      <w:r>
        <w:rPr>
          <w:b/>
          <w:bCs/>
        </w:rPr>
        <w:t>Company Background and Mission</w:t>
      </w:r>
    </w:p>
    <w:p>
      <w:pPr>
        <w:pStyle w:val="Normal"/>
        <w:rPr>
          <w:b/>
          <w:bCs/>
        </w:rPr>
      </w:pPr>
      <w:r>
        <w:rPr>
          <w:b/>
          <w:bCs/>
        </w:rPr>
      </w:r>
    </w:p>
    <w:p>
      <w:pPr>
        <w:pStyle w:val="Heading5"/>
        <w:ind w:hanging="0" w:start="0"/>
        <w:rPr/>
      </w:pPr>
      <w:r>
        <w:rPr/>
        <w:t xml:space="preserve">Enron Corporation </w:t>
      </w:r>
    </w:p>
    <w:p>
      <w:pPr>
        <w:pStyle w:val="Normal"/>
        <w:rPr/>
      </w:pPr>
      <w:r>
        <w:rPr/>
      </w:r>
    </w:p>
    <w:p>
      <w:pPr>
        <w:pStyle w:val="BodyText2"/>
        <w:rPr>
          <w:rFonts w:ascii="Times New Roman" w:hAnsi="Times New Roman" w:cs="Times New Roman"/>
        </w:rPr>
      </w:pPr>
      <w:r>
        <w:rPr>
          <w:rFonts w:cs="Times New Roman" w:ascii="Times New Roman" w:hAnsi="Times New Roman"/>
        </w:rPr>
        <w:t>Enron is a leading provider of gas, energy and many other industrial commodities, throughout the world.  With revenues approaching $101 Billion, nearly half on-line, Enron is arguably also one of the largest  eCommerce companies as well. Enron’s mission is to build upon our success to become the leading provider of energy in the world.  To achieve this goal, the company produces electricity and natural gas, develops, constructs and operates energy facilities worldwide, delivers physical commodities and financial and risk management services to customers around the world and is developing a nationwide Internet-based communications network.  Enron’s Internet address is www.enron.com, and the stock is traded under the ticker symbol, “ENE.”</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b/>
        </w:rPr>
      </w:pPr>
      <w:r>
        <w:rPr>
          <w:rFonts w:cs="Times New Roman" w:ascii="Times New Roman" w:hAnsi="Times New Roman"/>
        </w:rPr>
        <w:t xml:space="preserve">Enron’s corporate style is characterized by a focus on customer value and innovation.  To achieve our business goals Enron is constantly innovating, with a heavy emphasis on the use of technology to improve services.  Enron has aggressively developed new markets, as well, expanding our focus beyond energy products.  Most recently, markets for bandwidth, paper, and financial services have been added.  One key to Enron’s market-making success has been our leading trading platform, EnronOn-Line (EOL).   EOL supports over 40 markets and thousands of products with real-time pricing, quotations and trade execution.  For our use of technology, creation of new markets and customer responsiveness, Enron has been ranked as America’s most innovative company for five consecutive five years by Fortune magazine.  </w:t>
      </w:r>
    </w:p>
    <w:p>
      <w:pPr>
        <w:pStyle w:val="Normal"/>
        <w:ind w:start="720" w:end="0"/>
        <w:rPr>
          <w:rFonts w:ascii="Times New Roman" w:hAnsi="Times New Roman" w:cs="Times New Roman"/>
          <w:b/>
          <w:color w:val="000000"/>
          <w:sz w:val="20"/>
        </w:rPr>
      </w:pPr>
      <w:r>
        <w:rPr>
          <w:rFonts w:cs="Times New Roman"/>
          <w:b/>
          <w:color w:val="000000"/>
          <w:sz w:val="20"/>
        </w:rPr>
      </w:r>
    </w:p>
    <w:p>
      <w:pPr>
        <w:pStyle w:val="Normal"/>
        <w:rPr>
          <w:color w:val="000000"/>
          <w:sz w:val="20"/>
        </w:rPr>
      </w:pPr>
      <w:r>
        <w:rPr>
          <w:color w:val="000000"/>
          <w:sz w:val="20"/>
        </w:rPr>
        <w:t xml:space="preserve">Enron operates networks throughout the world to develop and enhance our energy and broadband communication services. Networks, unlike vertically integrated business structures, facilitate the flow of information and expertise. By tapping into these markets, Enron can spot market signals faster and respond more quickly.  Our networks empower our customers as individuals, freeing them to craft innovative and substantive solutions to customer problems. Networks are the foundation of our knowledge-based businesses, and they provide exceptional returns and value for our shareholders. </w:t>
      </w:r>
    </w:p>
    <w:p>
      <w:pPr>
        <w:pStyle w:val="Normal"/>
        <w:rPr>
          <w:color w:val="000000"/>
          <w:sz w:val="20"/>
        </w:rPr>
      </w:pPr>
      <w:r>
        <w:rPr>
          <w:color w:val="000000"/>
          <w:sz w:val="20"/>
        </w:rPr>
      </w:r>
    </w:p>
    <w:p>
      <w:pPr>
        <w:pStyle w:val="Heading5"/>
        <w:ind w:hanging="0" w:start="0"/>
        <w:rPr/>
      </w:pPr>
      <w:r>
        <w:rPr/>
        <w:t>Enron Net Works – Enron’s IT Services Division</w:t>
      </w:r>
    </w:p>
    <w:p>
      <w:pPr>
        <w:pStyle w:val="Normal"/>
        <w:ind w:start="720" w:end="0"/>
        <w:rPr>
          <w:sz w:val="20"/>
        </w:rPr>
      </w:pPr>
      <w:r>
        <w:rPr>
          <w:sz w:val="20"/>
        </w:rPr>
      </w:r>
    </w:p>
    <w:p>
      <w:pPr>
        <w:pStyle w:val="Normal"/>
        <w:rPr>
          <w:sz w:val="20"/>
        </w:rPr>
      </w:pPr>
      <w:r>
        <w:rPr>
          <w:sz w:val="20"/>
        </w:rPr>
        <w:t>Enron Net Works (ENW) is an Enron company chartered with the responsibility of helping Enron bring products and services to on-line markets.  ENW is the developer and manager of all information systems used by Enron and our customers, including Enron On Line and a host of Front-office, Mid-office and Back-office systems.  We are devoted to helping Enron customers create effective solutions to their business information challenges.  Enron Net Works offers a range of services including:</w:t>
      </w:r>
    </w:p>
    <w:p>
      <w:pPr>
        <w:pStyle w:val="Normal"/>
        <w:rPr>
          <w:sz w:val="20"/>
        </w:rPr>
      </w:pPr>
      <w:r>
        <w:rPr>
          <w:sz w:val="20"/>
        </w:rPr>
      </w:r>
    </w:p>
    <w:p>
      <w:pPr>
        <w:pStyle w:val="Normal"/>
        <w:numPr>
          <w:ilvl w:val="0"/>
          <w:numId w:val="2"/>
        </w:numPr>
        <w:rPr>
          <w:sz w:val="20"/>
        </w:rPr>
      </w:pPr>
      <w:r>
        <w:rPr>
          <w:sz w:val="20"/>
        </w:rPr>
        <w:t>Hosted systems solutions (e.g. on-line marketplace services, portfolio management)</w:t>
      </w:r>
    </w:p>
    <w:p>
      <w:pPr>
        <w:pStyle w:val="Normal"/>
        <w:numPr>
          <w:ilvl w:val="0"/>
          <w:numId w:val="2"/>
        </w:numPr>
        <w:rPr>
          <w:sz w:val="20"/>
        </w:rPr>
      </w:pPr>
      <w:r>
        <w:rPr>
          <w:sz w:val="20"/>
        </w:rPr>
        <w:t>Software solutions (various platforms and applications)</w:t>
      </w:r>
    </w:p>
    <w:p>
      <w:pPr>
        <w:pStyle w:val="Normal"/>
        <w:numPr>
          <w:ilvl w:val="0"/>
          <w:numId w:val="2"/>
        </w:numPr>
        <w:rPr>
          <w:sz w:val="20"/>
        </w:rPr>
      </w:pPr>
      <w:r>
        <w:rPr>
          <w:sz w:val="20"/>
        </w:rPr>
        <w:t>Content services (e.g. real-time trading data)</w:t>
      </w:r>
    </w:p>
    <w:p>
      <w:pPr>
        <w:pStyle w:val="Normal"/>
        <w:numPr>
          <w:ilvl w:val="0"/>
          <w:numId w:val="2"/>
        </w:numPr>
        <w:rPr>
          <w:sz w:val="20"/>
        </w:rPr>
      </w:pPr>
      <w:r>
        <w:rPr>
          <w:sz w:val="20"/>
        </w:rPr>
        <w:t>Other IT solutions (e.g. financial and risk management, development tools)</w:t>
      </w:r>
    </w:p>
    <w:p>
      <w:pPr>
        <w:pStyle w:val="Normal"/>
        <w:rPr>
          <w:sz w:val="20"/>
        </w:rPr>
      </w:pPr>
      <w:r>
        <w:rPr>
          <w:sz w:val="20"/>
        </w:rPr>
      </w:r>
    </w:p>
    <w:p>
      <w:pPr>
        <w:pStyle w:val="BodyText"/>
        <w:rPr/>
      </w:pPr>
      <w:r>
        <w:rPr/>
        <w:t>ENW delivers a variety of information and application services for on-line markets that are complimentary to Enron’s core business offerings.  Enron Net Works employs over 1000 IT professionals, with deep energy industry experience.  Our organization has less than a 2% annual turn-over resulting in a highly consistent knowledge-base.</w:t>
      </w:r>
    </w:p>
    <w:p>
      <w:pPr>
        <w:pStyle w:val="BodyText"/>
        <w:rPr/>
      </w:pPr>
      <w:r>
        <w:rPr/>
      </w:r>
    </w:p>
    <w:p>
      <w:pPr>
        <w:pStyle w:val="BodyText"/>
        <w:rPr/>
      </w:pPr>
      <w:r>
        <w:rPr/>
      </w:r>
    </w:p>
    <w:p>
      <w:pPr>
        <w:pStyle w:val="BodyText"/>
        <w:rPr/>
      </w:pPr>
      <w:r>
        <w:rPr/>
      </w:r>
    </w:p>
    <w:p>
      <w:pPr>
        <w:pStyle w:val="BodyText"/>
        <w:rPr/>
      </w:pPr>
      <w:r>
        <w:rPr/>
      </w:r>
      <w:r>
        <w:br w:type="page"/>
      </w:r>
    </w:p>
    <w:p>
      <w:pPr>
        <w:pStyle w:val="BodyText"/>
        <w:rPr/>
      </w:pPr>
      <w:r>
        <w:rPr/>
      </w:r>
    </w:p>
    <w:p>
      <w:pPr>
        <w:pStyle w:val="Normal"/>
        <w:numPr>
          <w:ilvl w:val="0"/>
          <w:numId w:val="5"/>
        </w:numPr>
        <w:rPr>
          <w:color w:val="000000"/>
        </w:rPr>
      </w:pPr>
      <w:r>
        <w:rPr>
          <w:b/>
        </w:rPr>
        <w:t>Enron Products and Industries Served</w:t>
      </w:r>
    </w:p>
    <w:p>
      <w:pPr>
        <w:pStyle w:val="Normal"/>
        <w:rPr>
          <w:color w:val="000000"/>
          <w:sz w:val="20"/>
        </w:rPr>
      </w:pPr>
      <w:r>
        <w:rPr>
          <w:color w:val="000000"/>
          <w:sz w:val="20"/>
        </w:rPr>
      </w:r>
    </w:p>
    <w:p>
      <w:pPr>
        <w:pStyle w:val="Normal"/>
        <w:rPr>
          <w:sz w:val="20"/>
        </w:rPr>
      </w:pPr>
      <w:r>
        <w:rPr>
          <w:sz w:val="20"/>
        </w:rPr>
        <w:t>Enron offers a large number of products and services.  As Enron’s Information Technology Delivery Arm, Enron Net Works creates the information solutions that support these businesses.  While the list is long, we think it is important to understand the breadth of products our systems support.  Today Enron offers services in the following areas:</w:t>
      </w:r>
    </w:p>
    <w:p>
      <w:pPr>
        <w:pStyle w:val="Normal"/>
        <w:rPr>
          <w:color w:val="000000"/>
          <w:sz w:val="20"/>
        </w:rPr>
      </w:pPr>
      <w:r>
        <w:rPr>
          <w:color w:val="000000"/>
          <w:sz w:val="20"/>
        </w:rPr>
      </w:r>
    </w:p>
    <w:p>
      <w:pPr>
        <w:pStyle w:val="Normal"/>
        <w:numPr>
          <w:ilvl w:val="0"/>
          <w:numId w:val="9"/>
        </w:numPr>
        <w:tabs>
          <w:tab w:val="left" w:pos="720" w:leader="none"/>
        </w:tabs>
        <w:ind w:hanging="360" w:start="720" w:end="0"/>
        <w:rPr>
          <w:color w:val="000000"/>
          <w:sz w:val="20"/>
        </w:rPr>
      </w:pPr>
      <w:r>
        <w:rPr>
          <w:color w:val="000000"/>
          <w:sz w:val="20"/>
        </w:rPr>
        <w:t xml:space="preserve">Online Marketplace Services </w:t>
      </w:r>
    </w:p>
    <w:p>
      <w:pPr>
        <w:pStyle w:val="Heading1"/>
        <w:numPr>
          <w:ilvl w:val="0"/>
          <w:numId w:val="9"/>
        </w:numPr>
        <w:tabs>
          <w:tab w:val="left" w:pos="720" w:leader="none"/>
        </w:tabs>
        <w:ind w:hanging="360" w:start="720" w:end="0"/>
        <w:rPr>
          <w:rFonts w:ascii="Times New Roman" w:hAnsi="Times New Roman" w:cs="Times New Roman"/>
          <w:b w:val="false"/>
        </w:rPr>
      </w:pPr>
      <w:r>
        <w:rPr>
          <w:rFonts w:cs="Times New Roman" w:ascii="Times New Roman" w:hAnsi="Times New Roman"/>
          <w:b w:val="false"/>
        </w:rPr>
        <w:t>Broadband Services</w:t>
      </w:r>
    </w:p>
    <w:p>
      <w:pPr>
        <w:pStyle w:val="Heading1"/>
        <w:numPr>
          <w:ilvl w:val="0"/>
          <w:numId w:val="9"/>
        </w:numPr>
        <w:tabs>
          <w:tab w:val="left" w:pos="720" w:leader="none"/>
        </w:tabs>
        <w:ind w:hanging="360" w:start="720" w:end="0"/>
        <w:rPr>
          <w:rFonts w:ascii="Times New Roman" w:hAnsi="Times New Roman" w:cs="Times New Roman"/>
        </w:rPr>
      </w:pPr>
      <w:r>
        <w:rPr>
          <w:rFonts w:cs="Times New Roman" w:ascii="Times New Roman" w:hAnsi="Times New Roman"/>
          <w:b w:val="false"/>
        </w:rPr>
        <w:t>Energy &amp; Commodities Services</w:t>
      </w:r>
    </w:p>
    <w:p>
      <w:pPr>
        <w:pStyle w:val="Normal"/>
        <w:numPr>
          <w:ilvl w:val="0"/>
          <w:numId w:val="9"/>
        </w:numPr>
        <w:tabs>
          <w:tab w:val="left" w:pos="720" w:leader="none"/>
        </w:tabs>
        <w:ind w:hanging="360" w:start="720" w:end="0"/>
        <w:rPr>
          <w:color w:val="000000"/>
          <w:sz w:val="20"/>
        </w:rPr>
      </w:pPr>
      <w:r>
        <w:rPr>
          <w:color w:val="000000"/>
          <w:sz w:val="20"/>
        </w:rPr>
        <w:t>Capital &amp; Risk Management Services</w:t>
      </w:r>
    </w:p>
    <w:p>
      <w:pPr>
        <w:pStyle w:val="Normal"/>
        <w:numPr>
          <w:ilvl w:val="0"/>
          <w:numId w:val="9"/>
        </w:numPr>
        <w:tabs>
          <w:tab w:val="left" w:pos="720" w:leader="none"/>
        </w:tabs>
        <w:ind w:hanging="360" w:start="720" w:end="0"/>
        <w:rPr>
          <w:color w:val="000000"/>
          <w:sz w:val="20"/>
        </w:rPr>
      </w:pPr>
      <w:r>
        <w:rPr>
          <w:color w:val="000000"/>
          <w:sz w:val="20"/>
        </w:rPr>
        <w:t xml:space="preserve">Commercial &amp; Industrial Outsourcing </w:t>
      </w:r>
    </w:p>
    <w:p>
      <w:pPr>
        <w:pStyle w:val="Normal"/>
        <w:numPr>
          <w:ilvl w:val="0"/>
          <w:numId w:val="9"/>
        </w:numPr>
        <w:tabs>
          <w:tab w:val="left" w:pos="720" w:leader="none"/>
        </w:tabs>
        <w:ind w:hanging="360" w:start="720" w:end="0"/>
        <w:rPr>
          <w:color w:val="000000"/>
          <w:sz w:val="20"/>
        </w:rPr>
      </w:pPr>
      <w:r>
        <w:rPr>
          <w:color w:val="000000"/>
          <w:sz w:val="20"/>
        </w:rPr>
        <w:t>Project Development &amp; Management</w:t>
      </w:r>
    </w:p>
    <w:p>
      <w:pPr>
        <w:pStyle w:val="Normal"/>
        <w:numPr>
          <w:ilvl w:val="0"/>
          <w:numId w:val="9"/>
        </w:numPr>
        <w:tabs>
          <w:tab w:val="left" w:pos="720" w:leader="none"/>
        </w:tabs>
        <w:ind w:hanging="360" w:start="720" w:end="0"/>
        <w:rPr>
          <w:color w:val="000000"/>
          <w:sz w:val="20"/>
        </w:rPr>
      </w:pPr>
      <w:r>
        <w:rPr>
          <w:color w:val="000000"/>
          <w:sz w:val="20"/>
        </w:rPr>
        <w:t xml:space="preserve">Energy Transportation &amp; Upstream Services </w:t>
      </w:r>
    </w:p>
    <w:p>
      <w:pPr>
        <w:pStyle w:val="Normal"/>
        <w:rPr>
          <w:color w:val="000000"/>
          <w:sz w:val="20"/>
        </w:rPr>
      </w:pPr>
      <w:r>
        <w:rPr>
          <w:color w:val="000000"/>
          <w:sz w:val="20"/>
        </w:rPr>
      </w:r>
    </w:p>
    <w:p>
      <w:pPr>
        <w:pStyle w:val="Normal"/>
        <w:rPr>
          <w:color w:val="000000"/>
          <w:sz w:val="20"/>
        </w:rPr>
      </w:pPr>
      <w:r>
        <w:rPr>
          <w:color w:val="000000"/>
          <w:sz w:val="20"/>
        </w:rPr>
      </w:r>
    </w:p>
    <w:p>
      <w:pPr>
        <w:pStyle w:val="Normal"/>
        <w:rPr>
          <w:b/>
          <w:color w:val="000000"/>
          <w:sz w:val="20"/>
        </w:rPr>
      </w:pPr>
      <w:r>
        <w:rPr>
          <w:b/>
          <w:color w:val="000000"/>
          <w:sz w:val="20"/>
        </w:rPr>
        <w:t xml:space="preserve">Online Marketplace Services: </w:t>
      </w:r>
    </w:p>
    <w:p>
      <w:pPr>
        <w:pStyle w:val="Normal"/>
        <w:rPr>
          <w:b/>
          <w:color w:val="000000"/>
          <w:sz w:val="20"/>
        </w:rPr>
      </w:pPr>
      <w:r>
        <w:rPr>
          <w:b/>
          <w:color w:val="000000"/>
          <w:sz w:val="20"/>
        </w:rPr>
      </w:r>
    </w:p>
    <w:p>
      <w:pPr>
        <w:pStyle w:val="BodyTextIndent"/>
        <w:ind w:start="0" w:end="0"/>
        <w:rPr>
          <w:rFonts w:ascii="Times New Roman" w:hAnsi="Times New Roman" w:cs="Times New Roman"/>
        </w:rPr>
      </w:pPr>
      <w:r>
        <w:rPr>
          <w:rFonts w:cs="Times New Roman" w:ascii="Times New Roman" w:hAnsi="Times New Roman"/>
        </w:rPr>
        <w:t>Enron is using the Internet to revolutionize the way business is conducted around the world. We leverage our strength across new and older markets to enable our customers to buy and sell hundreds of energy-related products and other commodities instantaneously. We saw the difficulties of managing risk with high-speed transactions and developed an innovative real-time solution. Enron E-Business Services give our customers the ability to transact business at the increasingly rapid pace of the global marketplace. The following services are available (with further information accessible on Enron web sit WWW.Enron.com).</w:t>
      </w:r>
    </w:p>
    <w:p>
      <w:pPr>
        <w:pStyle w:val="Normal"/>
        <w:rPr>
          <w:rFonts w:ascii="Times New Roman" w:hAnsi="Times New Roman" w:cs="Times New Roman"/>
          <w:color w:val="000000"/>
          <w:sz w:val="20"/>
        </w:rPr>
      </w:pPr>
      <w:r>
        <w:rPr>
          <w:rFonts w:cs="Times New Roman"/>
          <w:color w:val="000000"/>
          <w:sz w:val="20"/>
        </w:rPr>
      </w:r>
    </w:p>
    <w:p>
      <w:pPr>
        <w:pStyle w:val="Normal"/>
        <w:numPr>
          <w:ilvl w:val="0"/>
          <w:numId w:val="3"/>
        </w:numPr>
        <w:rPr>
          <w:bCs/>
          <w:color w:val="000000"/>
          <w:sz w:val="20"/>
        </w:rPr>
      </w:pPr>
      <w:r>
        <w:rPr>
          <w:bCs/>
          <w:color w:val="000000"/>
          <w:sz w:val="20"/>
        </w:rPr>
        <w:t>EnronOnline.com - Enron's online commodity-trading system</w:t>
      </w:r>
    </w:p>
    <w:p>
      <w:pPr>
        <w:pStyle w:val="Normal"/>
        <w:numPr>
          <w:ilvl w:val="0"/>
          <w:numId w:val="3"/>
        </w:numPr>
        <w:rPr>
          <w:bCs/>
          <w:color w:val="000000"/>
          <w:sz w:val="20"/>
        </w:rPr>
      </w:pPr>
      <w:r>
        <w:rPr>
          <w:bCs/>
          <w:color w:val="000000"/>
          <w:sz w:val="20"/>
        </w:rPr>
        <w:t xml:space="preserve">ClickPaper.com - </w:t>
      </w:r>
      <w:r>
        <w:rPr>
          <w:bCs/>
          <w:sz w:val="20"/>
        </w:rPr>
        <w:t>web-based system dedicated to the pulp, paper, and wood products</w:t>
      </w:r>
    </w:p>
    <w:p>
      <w:pPr>
        <w:pStyle w:val="Normal"/>
        <w:numPr>
          <w:ilvl w:val="0"/>
          <w:numId w:val="3"/>
        </w:numPr>
        <w:rPr>
          <w:bCs/>
          <w:color w:val="000000"/>
          <w:sz w:val="20"/>
        </w:rPr>
      </w:pPr>
      <w:r>
        <w:rPr>
          <w:bCs/>
          <w:color w:val="000000"/>
          <w:sz w:val="20"/>
        </w:rPr>
        <w:t xml:space="preserve">EnronCredit.com - real-time credit risk solutions </w:t>
      </w:r>
    </w:p>
    <w:p>
      <w:pPr>
        <w:pStyle w:val="BodyText2"/>
        <w:numPr>
          <w:ilvl w:val="0"/>
          <w:numId w:val="3"/>
        </w:numPr>
        <w:rPr>
          <w:rFonts w:ascii="Times New Roman" w:hAnsi="Times New Roman" w:cs="Times New Roman"/>
          <w:bCs/>
        </w:rPr>
      </w:pPr>
      <w:r>
        <w:rPr>
          <w:rFonts w:cs="Times New Roman" w:ascii="Times New Roman" w:hAnsi="Times New Roman"/>
          <w:bCs/>
        </w:rPr>
        <w:t xml:space="preserve">ePowerOnline  - web-based access to Enron Broadband Services </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 xml:space="preserve">Enron Direct - offers European customers savings on their gas and electricity bills </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 xml:space="preserve">EnergyDesk.com – offers European customers a web-based energy risk management system. </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 xml:space="preserve">NewPowerCompany.com - the first national provider of energy services to residences </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 xml:space="preserve">Enron Weather - weather risk management tools </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DealBench.com - collaborative environment for shared documents, auctions</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WaterDesk.com - water and wastewater transactions.</w:t>
      </w:r>
    </w:p>
    <w:p>
      <w:pPr>
        <w:pStyle w:val="Heading1"/>
        <w:numPr>
          <w:ilvl w:val="0"/>
          <w:numId w:val="3"/>
        </w:numPr>
        <w:rPr>
          <w:rFonts w:ascii="Times New Roman" w:hAnsi="Times New Roman" w:cs="Times New Roman"/>
          <w:b w:val="false"/>
          <w:bCs/>
        </w:rPr>
      </w:pPr>
      <w:r>
        <w:rPr>
          <w:rFonts w:cs="Times New Roman" w:ascii="Times New Roman" w:hAnsi="Times New Roman"/>
          <w:b w:val="false"/>
          <w:bCs/>
        </w:rPr>
        <w:t xml:space="preserve">HotTap on the Web - The Enron-operated U.S. interstate transportation pipeline systems'  customer site. </w:t>
      </w:r>
    </w:p>
    <w:p>
      <w:pPr>
        <w:pStyle w:val="Heading1"/>
        <w:numPr>
          <w:ilvl w:val="0"/>
          <w:numId w:val="3"/>
        </w:numPr>
        <w:rPr>
          <w:rFonts w:ascii="Times New Roman" w:hAnsi="Times New Roman" w:cs="Times New Roman"/>
        </w:rPr>
      </w:pPr>
      <w:r>
        <w:rPr>
          <w:rFonts w:cs="Times New Roman" w:ascii="Times New Roman" w:hAnsi="Times New Roman"/>
          <w:b w:val="false"/>
          <w:bCs/>
        </w:rPr>
        <w:t>EnronStrommarkt.de - B2B pricing for German municipal services</w:t>
      </w:r>
      <w:r>
        <w:rPr>
          <w:rFonts w:cs="Times New Roman" w:ascii="Times New Roman" w:hAnsi="Times New Roman"/>
        </w:rPr>
        <w:t xml:space="preserve"> </w:t>
      </w:r>
    </w:p>
    <w:p>
      <w:pPr>
        <w:pStyle w:val="Normal"/>
        <w:rPr>
          <w:rFonts w:ascii="Times New Roman" w:hAnsi="Times New Roman" w:cs="Times New Roman"/>
        </w:rPr>
      </w:pPr>
      <w:r>
        <w:rPr>
          <w:rFonts w:cs="Times New Roman"/>
        </w:rPr>
      </w:r>
    </w:p>
    <w:p>
      <w:pPr>
        <w:pStyle w:val="Heading1"/>
        <w:ind w:hanging="0" w:start="0"/>
        <w:rPr>
          <w:rFonts w:ascii="Times New Roman" w:hAnsi="Times New Roman" w:cs="Times New Roman"/>
        </w:rPr>
      </w:pPr>
      <w:r>
        <w:rPr>
          <w:rFonts w:cs="Times New Roman" w:ascii="Times New Roman" w:hAnsi="Times New Roman"/>
        </w:rPr>
        <w:t>Broadband Services</w:t>
      </w:r>
    </w:p>
    <w:p>
      <w:pPr>
        <w:pStyle w:val="BodyText2"/>
        <w:rPr>
          <w:rFonts w:ascii="Times New Roman" w:hAnsi="Times New Roman" w:cs="Times New Roman"/>
          <w:szCs w:val="24"/>
        </w:rPr>
      </w:pPr>
      <w:r>
        <w:rPr>
          <w:rFonts w:cs="Times New Roman" w:ascii="Times New Roman" w:hAnsi="Times New Roman"/>
          <w:szCs w:val="24"/>
        </w:rPr>
        <w:t>Enron Broadband Services delivers delivers innovative solutions that are changing the way the Internet works. We combine the power of the Enron Intelligent Network with a suite of customizable bandwidth options and streaming media applications to fundamentally improve your online experience.</w:t>
      </w:r>
    </w:p>
    <w:p>
      <w:pPr>
        <w:pStyle w:val="Normal"/>
        <w:ind w:start="720" w:end="0"/>
        <w:rPr>
          <w:color w:val="000000"/>
          <w:sz w:val="20"/>
        </w:rPr>
      </w:pPr>
      <w:r>
        <w:rPr>
          <w:color w:val="000000"/>
          <w:sz w:val="20"/>
        </w:rPr>
        <w:t xml:space="preserve">    </w:t>
      </w:r>
    </w:p>
    <w:p>
      <w:pPr>
        <w:pStyle w:val="Heading2"/>
        <w:numPr>
          <w:ilvl w:val="0"/>
          <w:numId w:val="8"/>
        </w:numPr>
        <w:rPr>
          <w:rFonts w:ascii="Times New Roman" w:hAnsi="Times New Roman" w:cs="Times New Roman"/>
          <w:b w:val="false"/>
          <w:bCs/>
          <w:u w:val="none"/>
        </w:rPr>
      </w:pPr>
      <w:r>
        <w:rPr>
          <w:rFonts w:cs="Times New Roman" w:ascii="Times New Roman" w:hAnsi="Times New Roman"/>
          <w:b w:val="false"/>
          <w:bCs/>
          <w:u w:val="none"/>
        </w:rPr>
        <w:t xml:space="preserve">The Enron Intelligent Network - Enron's high-performance network </w:t>
      </w:r>
    </w:p>
    <w:p>
      <w:pPr>
        <w:pStyle w:val="Heading2"/>
        <w:numPr>
          <w:ilvl w:val="0"/>
          <w:numId w:val="8"/>
        </w:numPr>
        <w:rPr>
          <w:rFonts w:ascii="Times New Roman" w:hAnsi="Times New Roman" w:cs="Times New Roman"/>
          <w:b w:val="false"/>
          <w:bCs/>
          <w:u w:val="none"/>
        </w:rPr>
      </w:pPr>
      <w:r>
        <w:rPr>
          <w:rFonts w:cs="Times New Roman" w:ascii="Times New Roman" w:hAnsi="Times New Roman"/>
          <w:b w:val="false"/>
          <w:bCs/>
          <w:u w:val="none"/>
        </w:rPr>
        <w:t>Customizable Bandwidth Solutions - innovative fiber products and trading solutions</w:t>
      </w:r>
    </w:p>
    <w:p>
      <w:pPr>
        <w:pStyle w:val="Heading2"/>
        <w:numPr>
          <w:ilvl w:val="0"/>
          <w:numId w:val="8"/>
        </w:numPr>
        <w:rPr>
          <w:b w:val="false"/>
          <w:bCs/>
        </w:rPr>
      </w:pPr>
      <w:r>
        <w:rPr>
          <w:rFonts w:cs="Times New Roman" w:ascii="Times New Roman" w:hAnsi="Times New Roman"/>
          <w:b w:val="false"/>
          <w:bCs/>
          <w:u w:val="none"/>
        </w:rPr>
        <w:t>Streaming Media Applications - streaming media applications</w:t>
      </w:r>
      <w:r>
        <w:rPr>
          <w:b w:val="false"/>
          <w:bCs/>
        </w:rPr>
        <w:t xml:space="preserve"> </w:t>
      </w:r>
    </w:p>
    <w:p>
      <w:pPr>
        <w:pStyle w:val="Normal"/>
        <w:rPr>
          <w:b/>
          <w:bCs/>
        </w:rPr>
      </w:pPr>
      <w:r>
        <w:rPr>
          <w:b/>
          <w:bCs/>
        </w:rPr>
      </w:r>
    </w:p>
    <w:p>
      <w:pPr>
        <w:pStyle w:val="Heading1"/>
        <w:ind w:hanging="0" w:start="0"/>
        <w:rPr>
          <w:rFonts w:ascii="Times New Roman" w:hAnsi="Times New Roman" w:cs="Times New Roman"/>
        </w:rPr>
      </w:pPr>
      <w:r>
        <w:rPr>
          <w:rFonts w:cs="Times New Roman" w:ascii="Times New Roman" w:hAnsi="Times New Roman"/>
        </w:rPr>
        <w:t>Energy &amp; Commodities Services</w:t>
      </w:r>
    </w:p>
    <w:p>
      <w:pPr>
        <w:pStyle w:val="BodyText2"/>
        <w:rPr>
          <w:rFonts w:ascii="Times New Roman" w:hAnsi="Times New Roman" w:cs="Times New Roman"/>
          <w:szCs w:val="24"/>
        </w:rPr>
      </w:pPr>
      <w:r>
        <w:rPr>
          <w:rFonts w:cs="Times New Roman" w:ascii="Times New Roman" w:hAnsi="Times New Roman"/>
          <w:szCs w:val="24"/>
        </w:rPr>
        <w:t xml:space="preserve">Enron makes and transforms commodity markets. We transport, manage, and deliver commodities. The wholesale energy market thrives on the services we provide, including risk management and capital. We revolutionized the way energy commodities are traded over the Internet and as energy and commodity markets expand into the new economy, Enron is leading the way in the following markets. </w:t>
      </w:r>
    </w:p>
    <w:p>
      <w:pPr>
        <w:pStyle w:val="Normal"/>
        <w:rPr>
          <w:color w:val="000000"/>
          <w:sz w:val="20"/>
        </w:rPr>
      </w:pPr>
      <w:r>
        <w:rPr>
          <w:color w:val="000000"/>
          <w:sz w:val="20"/>
        </w:rPr>
        <w:t xml:space="preserve"> </w:t>
      </w:r>
    </w:p>
    <w:p>
      <w:pPr>
        <w:pStyle w:val="Normal"/>
        <w:numPr>
          <w:ilvl w:val="0"/>
          <w:numId w:val="4"/>
        </w:numPr>
        <w:tabs>
          <w:tab w:val="left" w:pos="720" w:leader="none"/>
        </w:tabs>
        <w:ind w:hanging="360" w:start="720" w:end="0"/>
        <w:rPr>
          <w:bCs/>
          <w:color w:val="000000"/>
          <w:sz w:val="20"/>
        </w:rPr>
      </w:pPr>
      <w:r>
        <w:rPr>
          <w:bCs/>
          <w:color w:val="000000"/>
          <w:sz w:val="20"/>
        </w:rPr>
        <w:t xml:space="preserve">Power  </w:t>
      </w:r>
    </w:p>
    <w:p>
      <w:pPr>
        <w:pStyle w:val="Normal"/>
        <w:numPr>
          <w:ilvl w:val="0"/>
          <w:numId w:val="4"/>
        </w:numPr>
        <w:tabs>
          <w:tab w:val="left" w:pos="720" w:leader="none"/>
        </w:tabs>
        <w:ind w:hanging="360" w:start="720" w:end="0"/>
        <w:rPr>
          <w:bCs/>
          <w:color w:val="000000"/>
          <w:sz w:val="20"/>
        </w:rPr>
      </w:pPr>
      <w:r>
        <w:rPr>
          <w:bCs/>
          <w:sz w:val="20"/>
        </w:rPr>
        <w:t>Natural Gas</w:t>
      </w:r>
      <w:r>
        <w:rPr>
          <w:bCs/>
        </w:rPr>
        <w:t xml:space="preserve"> </w:t>
      </w:r>
      <w:r>
        <w:rPr>
          <w:bCs/>
          <w:sz w:val="20"/>
        </w:rPr>
        <w:t xml:space="preserve"> </w:t>
      </w:r>
      <w:r>
        <w:rPr>
          <w:bCs/>
          <w:color w:val="000000"/>
          <w:sz w:val="20"/>
        </w:rPr>
        <w:t xml:space="preserve"> </w:t>
      </w:r>
    </w:p>
    <w:p>
      <w:pPr>
        <w:pStyle w:val="Normal"/>
        <w:numPr>
          <w:ilvl w:val="0"/>
          <w:numId w:val="4"/>
        </w:numPr>
        <w:tabs>
          <w:tab w:val="left" w:pos="720" w:leader="none"/>
        </w:tabs>
        <w:ind w:hanging="360" w:start="720" w:end="0"/>
        <w:rPr>
          <w:bCs/>
          <w:color w:val="000000"/>
          <w:sz w:val="20"/>
        </w:rPr>
      </w:pPr>
      <w:r>
        <w:rPr>
          <w:bCs/>
          <w:sz w:val="20"/>
        </w:rPr>
        <w:t xml:space="preserve">Pulp &amp; Paper, Packaging and Lumber  </w:t>
      </w:r>
      <w:r>
        <w:rPr>
          <w:bCs/>
          <w:color w:val="000000"/>
          <w:sz w:val="20"/>
        </w:rPr>
        <w:t xml:space="preserve"> </w:t>
      </w:r>
    </w:p>
    <w:p>
      <w:pPr>
        <w:pStyle w:val="Normal"/>
        <w:numPr>
          <w:ilvl w:val="0"/>
          <w:numId w:val="4"/>
        </w:numPr>
        <w:tabs>
          <w:tab w:val="left" w:pos="720" w:leader="none"/>
        </w:tabs>
        <w:ind w:hanging="360" w:start="720" w:end="0"/>
        <w:rPr>
          <w:bCs/>
          <w:color w:val="000000"/>
          <w:sz w:val="20"/>
        </w:rPr>
      </w:pPr>
      <w:r>
        <w:rPr>
          <w:bCs/>
          <w:color w:val="000000"/>
          <w:sz w:val="20"/>
        </w:rPr>
        <w:t xml:space="preserve">Coal &amp; Emissions    </w:t>
      </w:r>
    </w:p>
    <w:p>
      <w:pPr>
        <w:pStyle w:val="Normal"/>
        <w:numPr>
          <w:ilvl w:val="0"/>
          <w:numId w:val="4"/>
        </w:numPr>
        <w:tabs>
          <w:tab w:val="left" w:pos="720" w:leader="none"/>
        </w:tabs>
        <w:ind w:hanging="360" w:start="720" w:end="0"/>
        <w:rPr>
          <w:bCs/>
          <w:color w:val="000000"/>
          <w:sz w:val="20"/>
        </w:rPr>
      </w:pPr>
      <w:r>
        <w:rPr>
          <w:bCs/>
          <w:color w:val="000000"/>
          <w:sz w:val="20"/>
        </w:rPr>
        <w:t xml:space="preserve">Plastics &amp; Petrochemicals - polymers, olefins, methanol, aromatics and natural gas liquids. </w:t>
      </w:r>
    </w:p>
    <w:p>
      <w:pPr>
        <w:pStyle w:val="Normal"/>
        <w:numPr>
          <w:ilvl w:val="0"/>
          <w:numId w:val="4"/>
        </w:numPr>
        <w:tabs>
          <w:tab w:val="left" w:pos="720" w:leader="none"/>
        </w:tabs>
        <w:ind w:hanging="360" w:start="720" w:end="0"/>
        <w:rPr>
          <w:bCs/>
          <w:color w:val="000000"/>
          <w:sz w:val="20"/>
        </w:rPr>
      </w:pPr>
      <w:r>
        <w:rPr>
          <w:bCs/>
          <w:sz w:val="20"/>
        </w:rPr>
        <w:t>Weather Risk Management</w:t>
      </w:r>
      <w:r>
        <w:rPr>
          <w:bCs/>
          <w:color w:val="000000"/>
          <w:sz w:val="20"/>
        </w:rPr>
        <w:t xml:space="preserve"> </w:t>
      </w:r>
    </w:p>
    <w:p>
      <w:pPr>
        <w:pStyle w:val="Normal"/>
        <w:numPr>
          <w:ilvl w:val="0"/>
          <w:numId w:val="4"/>
        </w:numPr>
        <w:tabs>
          <w:tab w:val="left" w:pos="720" w:leader="none"/>
        </w:tabs>
        <w:ind w:hanging="360" w:start="720" w:end="0"/>
        <w:rPr>
          <w:bCs/>
          <w:color w:val="000000"/>
          <w:sz w:val="20"/>
        </w:rPr>
      </w:pPr>
      <w:r>
        <w:rPr>
          <w:bCs/>
          <w:color w:val="000000"/>
          <w:sz w:val="20"/>
        </w:rPr>
        <w:t>Metals</w:t>
      </w:r>
    </w:p>
    <w:p>
      <w:pPr>
        <w:pStyle w:val="Normal"/>
        <w:numPr>
          <w:ilvl w:val="0"/>
          <w:numId w:val="4"/>
        </w:numPr>
        <w:tabs>
          <w:tab w:val="left" w:pos="720" w:leader="none"/>
        </w:tabs>
        <w:ind w:hanging="360" w:start="720" w:end="0"/>
        <w:rPr>
          <w:bCs/>
          <w:color w:val="000000"/>
          <w:sz w:val="20"/>
        </w:rPr>
      </w:pPr>
      <w:r>
        <w:rPr>
          <w:bCs/>
          <w:color w:val="000000"/>
          <w:sz w:val="20"/>
        </w:rPr>
        <w:t>Crude Oil and Oil Products</w:t>
      </w:r>
    </w:p>
    <w:p>
      <w:pPr>
        <w:pStyle w:val="Normal"/>
        <w:numPr>
          <w:ilvl w:val="0"/>
          <w:numId w:val="4"/>
        </w:numPr>
        <w:tabs>
          <w:tab w:val="left" w:pos="720" w:leader="none"/>
        </w:tabs>
        <w:ind w:hanging="360" w:start="720" w:end="0"/>
        <w:rPr>
          <w:bCs/>
          <w:color w:val="000000"/>
          <w:sz w:val="20"/>
        </w:rPr>
      </w:pPr>
      <w:r>
        <w:rPr>
          <w:bCs/>
          <w:color w:val="000000"/>
          <w:sz w:val="20"/>
        </w:rPr>
        <w:t>Customizable Bandwidth Solutions</w:t>
      </w:r>
    </w:p>
    <w:p>
      <w:pPr>
        <w:pStyle w:val="Heading1"/>
        <w:numPr>
          <w:ilvl w:val="0"/>
          <w:numId w:val="6"/>
        </w:numPr>
        <w:tabs>
          <w:tab w:val="left" w:pos="720" w:leader="none"/>
        </w:tabs>
        <w:ind w:hanging="360" w:start="720" w:end="0"/>
        <w:rPr>
          <w:rFonts w:ascii="Times New Roman" w:hAnsi="Times New Roman" w:cs="Times New Roman"/>
          <w:b w:val="false"/>
        </w:rPr>
      </w:pPr>
      <w:r>
        <w:rPr>
          <w:rFonts w:cs="Times New Roman" w:ascii="Times New Roman" w:hAnsi="Times New Roman"/>
          <w:b w:val="false"/>
          <w:bCs/>
        </w:rPr>
        <w:t>Wind Power Services</w:t>
      </w:r>
    </w:p>
    <w:p>
      <w:pPr>
        <w:pStyle w:val="Normal"/>
        <w:rPr>
          <w:rFonts w:ascii="Times New Roman" w:hAnsi="Times New Roman" w:cs="Times New Roman"/>
          <w:b/>
        </w:rPr>
      </w:pPr>
      <w:r>
        <w:rPr>
          <w:rFonts w:cs="Times New Roman"/>
          <w:b/>
        </w:rPr>
      </w:r>
    </w:p>
    <w:p>
      <w:pPr>
        <w:pStyle w:val="Heading1"/>
        <w:ind w:hanging="0" w:start="0"/>
        <w:rPr>
          <w:rFonts w:ascii="Times New Roman" w:hAnsi="Times New Roman" w:cs="Times New Roman"/>
        </w:rPr>
      </w:pPr>
      <w:r>
        <w:rPr>
          <w:rFonts w:cs="Times New Roman" w:ascii="Times New Roman" w:hAnsi="Times New Roman"/>
        </w:rPr>
        <w:t>Capital &amp; Risk Management Services</w:t>
      </w:r>
    </w:p>
    <w:p>
      <w:pPr>
        <w:pStyle w:val="Normal"/>
        <w:rPr>
          <w:color w:val="000000"/>
          <w:sz w:val="20"/>
        </w:rPr>
      </w:pPr>
      <w:r>
        <w:rPr>
          <w:color w:val="000000"/>
          <w:sz w:val="20"/>
        </w:rPr>
        <w:t>Enron offers a variety of financial services ideally suited for energy companies.  Hedges. Swaps. Hybrids. These and other risk management instruments allow you to manage volatility and limit your exposure to wild swings in the energy marketplace. Properly utilized risk management can add predictability to your business and lower your costs, thereby enhancing your appeal to investors and increasing your profits. In the energy business, doing nothing to manage risk is in itself a risky move. Enron can help you stabilize your cash flow for more effective long-term planning.</w:t>
      </w:r>
    </w:p>
    <w:p>
      <w:pPr>
        <w:pStyle w:val="Normal"/>
        <w:rPr>
          <w:color w:val="000000"/>
          <w:sz w:val="20"/>
        </w:rPr>
      </w:pPr>
      <w:r>
        <w:rPr>
          <w:color w:val="000000"/>
          <w:sz w:val="20"/>
        </w:rPr>
        <w:t xml:space="preserve"> </w:t>
      </w:r>
    </w:p>
    <w:p>
      <w:pPr>
        <w:pStyle w:val="Normal"/>
        <w:rPr/>
      </w:pPr>
      <w:r>
        <w:rPr>
          <w:b/>
          <w:color w:val="000000"/>
          <w:sz w:val="20"/>
        </w:rPr>
        <w:t>Commercial &amp; Industrial Outsourcing/ Project Development &amp; Management.</w:t>
      </w:r>
      <w:r>
        <w:rPr>
          <w:color w:val="000000"/>
          <w:sz w:val="20"/>
        </w:rPr>
        <w:t xml:space="preserve">  Enron is the expert in managing a company's energy supply chain and at negotiating the technical and regulatory maze that comes with developing a new infrastructure project. Whether you want to become our partner, or you want us to manage your interests, you can count on our experience and expertise to ensure that your project is a success. At Enron, we have developed numerous successful and innovative projects around the world in the areas of power, pipeline, wind, water, process, and offshore. From negotiation of complex regulatory mazes to commissioning of a facility, we can provide solutions tailored to the needs of your project.</w:t>
      </w:r>
    </w:p>
    <w:p>
      <w:pPr>
        <w:pStyle w:val="Normal"/>
        <w:rPr>
          <w:color w:val="000000"/>
          <w:sz w:val="20"/>
        </w:rPr>
      </w:pPr>
      <w:r>
        <w:rPr>
          <w:color w:val="000000"/>
          <w:sz w:val="20"/>
        </w:rPr>
        <w:t xml:space="preserve"> </w:t>
      </w:r>
    </w:p>
    <w:p>
      <w:pPr>
        <w:pStyle w:val="Normal"/>
        <w:rPr>
          <w:b/>
          <w:color w:val="000000"/>
          <w:sz w:val="20"/>
        </w:rPr>
      </w:pPr>
      <w:r>
        <w:rPr>
          <w:b/>
          <w:color w:val="000000"/>
          <w:sz w:val="20"/>
        </w:rPr>
        <w:t xml:space="preserve">Energy Transportation &amp; Upstream Services </w:t>
      </w:r>
    </w:p>
    <w:p>
      <w:pPr>
        <w:pStyle w:val="BodyText2"/>
        <w:rPr>
          <w:rFonts w:ascii="Times New Roman" w:hAnsi="Times New Roman" w:cs="Times New Roman"/>
        </w:rPr>
      </w:pPr>
      <w:r>
        <w:rPr>
          <w:rFonts w:cs="Times New Roman" w:ascii="Times New Roman" w:hAnsi="Times New Roman"/>
        </w:rPr>
        <w:t xml:space="preserve">Enron produces, develops, constructs, and operates energy facilities worldwide. Enron is considered the leader in the construction and operation of natural gas transportation and storage facilities. See how we stand ready to serve the growing worldwide demand for natural gas by offering innovative, market responsive Energy Transportation Services. </w:t>
      </w:r>
    </w:p>
    <w:p>
      <w:pPr>
        <w:pStyle w:val="Normal"/>
        <w:ind w:start="720" w:end="0"/>
        <w:rPr>
          <w:color w:val="000000"/>
          <w:sz w:val="20"/>
        </w:rPr>
      </w:pPr>
      <w:r>
        <w:rPr>
          <w:color w:val="000000"/>
          <w:sz w:val="20"/>
        </w:rPr>
        <w:t xml:space="preserve">      </w:t>
      </w:r>
      <w:r>
        <w:br w:type="page"/>
      </w:r>
    </w:p>
    <w:p>
      <w:pPr>
        <w:pStyle w:val="Normal"/>
        <w:ind w:start="720" w:end="0"/>
        <w:rPr>
          <w:b/>
          <w:color w:val="000000"/>
          <w:sz w:val="20"/>
          <w:u w:val="single"/>
        </w:rPr>
      </w:pPr>
      <w:r>
        <w:rPr>
          <w:b/>
          <w:color w:val="000000"/>
          <w:sz w:val="20"/>
          <w:u w:val="single"/>
        </w:rPr>
      </w:r>
    </w:p>
    <w:p>
      <w:pPr>
        <w:pStyle w:val="Normal"/>
        <w:numPr>
          <w:ilvl w:val="0"/>
          <w:numId w:val="5"/>
        </w:numPr>
        <w:rPr>
          <w:b/>
          <w:bCs/>
        </w:rPr>
      </w:pPr>
      <w:r>
        <w:rPr>
          <w:b/>
          <w:bCs/>
        </w:rPr>
        <w:t>Enron Software Solutions</w:t>
      </w:r>
    </w:p>
    <w:p>
      <w:pPr>
        <w:pStyle w:val="Normal"/>
        <w:rPr>
          <w:b/>
          <w:bCs/>
          <w:sz w:val="20"/>
        </w:rPr>
      </w:pPr>
      <w:r>
        <w:rPr>
          <w:b/>
          <w:bCs/>
          <w:sz w:val="20"/>
        </w:rPr>
      </w:r>
    </w:p>
    <w:p>
      <w:pPr>
        <w:pStyle w:val="Normal"/>
        <w:rPr>
          <w:sz w:val="20"/>
        </w:rPr>
      </w:pPr>
      <w:r>
        <w:rPr>
          <w:sz w:val="20"/>
        </w:rPr>
        <w:t xml:space="preserve">Enron offers a large number of software solutions for energy customers ranging from back-office and mid-office systems for gas and energy, to our industry leading on-line market platform Enron On-Line.  </w:t>
      </w:r>
    </w:p>
    <w:p>
      <w:pPr>
        <w:pStyle w:val="BodyText"/>
        <w:rPr/>
      </w:pPr>
      <w:r>
        <w:rPr/>
        <w:t xml:space="preserve">ENW is committed to delivering the same innovative energy software we developed for internal use to third parties.  In doing so, Enron’s management team insists that the product quality, depth of functionality and associated service levels be superior to that currently offered in the market.  </w:t>
      </w:r>
    </w:p>
    <w:p>
      <w:pPr>
        <w:pStyle w:val="BodyText"/>
        <w:rPr/>
      </w:pPr>
      <w:r>
        <w:rPr/>
      </w:r>
    </w:p>
    <w:p>
      <w:pPr>
        <w:pStyle w:val="BodyText"/>
        <w:rPr/>
      </w:pPr>
      <w:r>
        <w:rPr/>
        <w:t xml:space="preserve">Enron first made the commitment to begin developing marketable software in 1995.  Enron’s trading division chose to commit significant additional funding to Information Technology, hiring an experienced team of software developers and managers to create proprietary software to handle the growing demands of its energy trading business.  At that time, the packaged product available in the market lacked the integration of risk management capabilities that fit with Enron’s physical and financial energy trading business.  The company recognized the need to become more proactive and visionary in its approach.  </w:t>
      </w:r>
    </w:p>
    <w:p>
      <w:pPr>
        <w:pStyle w:val="BodyText"/>
        <w:rPr/>
      </w:pPr>
      <w:r>
        <w:rPr/>
      </w:r>
    </w:p>
    <w:p>
      <w:pPr>
        <w:pStyle w:val="Normal"/>
        <w:rPr>
          <w:sz w:val="20"/>
        </w:rPr>
      </w:pPr>
      <w:r>
        <w:rPr>
          <w:sz w:val="20"/>
        </w:rPr>
        <w:t>Today, many of our systems are available as either a hosted systems solution or as object-code available for licensing.  To understand if our software will meet ACME needs, detailed architecture reviews and site visits are possible.</w:t>
      </w:r>
    </w:p>
    <w:p>
      <w:pPr>
        <w:pStyle w:val="BodyText"/>
        <w:rPr>
          <w:sz w:val="20"/>
        </w:rPr>
      </w:pPr>
      <w:r>
        <w:rPr>
          <w:sz w:val="20"/>
        </w:rPr>
      </w:r>
    </w:p>
    <w:p>
      <w:pPr>
        <w:pStyle w:val="Normal"/>
        <w:rPr>
          <w:sz w:val="20"/>
        </w:rPr>
      </w:pPr>
      <w:r>
        <w:rPr>
          <w:sz w:val="20"/>
        </w:rPr>
        <w:t xml:space="preserve">Enron is also uniquely positioned to offer a variety of alternative commercial arrangements.  It would be possible to draw on Enron’s finance group to create a structured deal that better fits ACME’s internal needs for capital.  For example, it would be possible to flexibly structure payments under this contract.  As Enron is a significant power trader in the US and European markets, we are prepared to consider a structured transaction that could take the place of a cash payment.  For example, we could arrange for payment in megawatt hours. </w:t>
      </w:r>
    </w:p>
    <w:p>
      <w:pPr>
        <w:pStyle w:val="Normal"/>
        <w:rPr>
          <w:sz w:val="20"/>
        </w:rPr>
      </w:pPr>
      <w:r>
        <w:rPr>
          <w:sz w:val="20"/>
        </w:rPr>
      </w:r>
    </w:p>
    <w:p>
      <w:pPr>
        <w:pStyle w:val="Normal"/>
        <w:rPr>
          <w:sz w:val="20"/>
        </w:rPr>
      </w:pPr>
      <w:r>
        <w:rPr>
          <w:sz w:val="20"/>
        </w:rPr>
        <w:t>The table below lists the major systems available that may meet the requirements of ACME.</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General System Category</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Products Available</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Status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Operations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Nominations, Confirmations, Allocations, Contract Scheduling, Imbalance Management, Measurement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Available on common platform</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Settlement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Penalties/Overrun charges, Valuation, Financial Interface, Invoices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Available on common platform</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Portfolio Management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Contract Administration,  Rate/Discounts, Deals, Deal Valuation, Customer Information, Credit</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Available, but multiple platforms.  May need some reengineering.  Capacity Release features need custom development.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Publish and Subscribe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Infrastructure architecture implemented leveraging Tibco and Oracle solutions</w:t>
            </w:r>
          </w:p>
        </w:tc>
        <w:tc>
          <w:tcPr>
            <w:tcW w:w="2952"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applications consistent with a  messaging architecture.  Can offer solutions based on experience (pricing excludes Tibco and Oracle).</w:t>
            </w:r>
          </w:p>
        </w:tc>
      </w:tr>
    </w:tbl>
    <w:p>
      <w:pPr>
        <w:pStyle w:val="Normal"/>
        <w:rPr>
          <w:sz w:val="20"/>
        </w:rPr>
      </w:pPr>
      <w:r>
        <w:rPr>
          <w:sz w:val="20"/>
        </w:rPr>
      </w:r>
    </w:p>
    <w:p>
      <w:pPr>
        <w:pStyle w:val="Normal"/>
        <w:rPr>
          <w:sz w:val="20"/>
        </w:rPr>
      </w:pPr>
      <w:r>
        <w:rPr>
          <w:sz w:val="20"/>
        </w:rPr>
      </w:r>
    </w:p>
    <w:p>
      <w:pPr>
        <w:pStyle w:val="Normal"/>
        <w:rPr>
          <w:sz w:val="20"/>
        </w:rPr>
      </w:pPr>
      <w:r>
        <w:rPr>
          <w:sz w:val="20"/>
        </w:rPr>
        <w:t>The attached PowerPoint presentation contains diagrams which illustrate key elements of Enron’s systems architecture applied in a specific implementation.</w:t>
      </w:r>
    </w:p>
    <w:p>
      <w:pPr>
        <w:pStyle w:val="Normal"/>
        <w:rPr>
          <w:sz w:val="20"/>
        </w:rPr>
      </w:pPr>
      <w:r>
        <w:rPr>
          <w:sz w:val="20"/>
        </w:rPr>
      </w:r>
    </w:p>
    <w:p>
      <w:pPr>
        <w:pStyle w:val="Normal"/>
        <w:rPr>
          <w:sz w:val="20"/>
        </w:rPr>
      </w:pPr>
      <w:r>
        <w:rPr>
          <w:sz w:val="20"/>
        </w:rPr>
      </w:r>
      <w:r>
        <w:br w:type="page"/>
      </w:r>
    </w:p>
    <w:p>
      <w:pPr>
        <w:pStyle w:val="Normal"/>
        <w:numPr>
          <w:ilvl w:val="0"/>
          <w:numId w:val="5"/>
        </w:numPr>
        <w:rPr>
          <w:b/>
          <w:bCs/>
        </w:rPr>
      </w:pPr>
      <w:r>
        <w:rPr>
          <w:b/>
          <w:bCs/>
        </w:rPr>
        <w:t>Enron Systems Success Profile</w:t>
      </w:r>
    </w:p>
    <w:p>
      <w:pPr>
        <w:pStyle w:val="Normal"/>
        <w:rPr>
          <w:b/>
          <w:bCs/>
          <w:sz w:val="20"/>
        </w:rPr>
      </w:pPr>
      <w:r>
        <w:rPr>
          <w:b/>
          <w:bCs/>
          <w:sz w:val="20"/>
        </w:rPr>
      </w:r>
    </w:p>
    <w:p>
      <w:pPr>
        <w:pStyle w:val="BodyText"/>
        <w:rPr/>
      </w:pPr>
      <w:r>
        <w:rPr/>
        <w:t>Enron has realized a significant business impact from its investment to build a world-class systems solution.  Since the launch of our online trading platform, EnronOnline, in November 1999, Enron has seen significant increase in business volumes. As of March 14th, 2001, the site has completed in excess of 770,000 transactions with a notional value exceeding $465 billion.  On an average day, EnronOnline allows Enron’s market makers to manage and transact in over 1,100 products in 29 different commodity markets and 13 different currencies.  The online market, combined with efficient back-end integration has been a huge success.  The total Enron the platform seamlessly processes in excess of 4,500 transactions on an average day.</w:t>
      </w:r>
    </w:p>
    <w:p>
      <w:pPr>
        <w:pStyle w:val="BodyText"/>
        <w:rPr/>
      </w:pPr>
      <w:r>
        <w:rPr/>
      </w:r>
    </w:p>
    <w:p>
      <w:pPr>
        <w:pStyle w:val="BodyText"/>
        <w:rPr/>
      </w:pPr>
      <w:r>
        <w:rPr/>
        <w:t>EnronOnline’s success has caused Enron’s deal count and volumes to grow tremendously, which validates the scalability of Enron’s robust mid and back-office solutions.  The platform has also allowed Enron to identify opportunities in non-traditional commodity markets.  As a result, Enron has expanded its online commodity/product portfolio over the last 2 years to include bandwidth, metals, weather derivatives, and other commodity markets.  All transactions processed by EnronOnline are fed into Enron’s mid and back-office systems, which have proven their flexibility by processing new products and commodities seamlessly.  The efficiencies achieved by Enron’s mid and back-office systems have also resulted in Enron’s average costs of processing each new deal to go down from an indexed price of $100 in 1999 to $25 in 2000.</w:t>
      </w:r>
    </w:p>
    <w:p>
      <w:pPr>
        <w:pStyle w:val="BodyText"/>
        <w:rPr/>
      </w:pPr>
      <w:r>
        <w:rPr/>
      </w:r>
    </w:p>
    <w:p>
      <w:pPr>
        <w:pStyle w:val="BodyText"/>
        <w:rPr/>
      </w:pPr>
      <w:r>
        <w:rPr/>
        <w:t xml:space="preserve">Given the proven scalability and flexibility of the Enron’s mid and back-office systems across commodities, as well as the efficiency gains Enron has realized over the last year, the system has become a valuable technology platform in its own right, and is willing to sell the necessary components to monetize that value. </w:t>
      </w:r>
    </w:p>
    <w:p>
      <w:pPr>
        <w:pStyle w:val="Normal"/>
        <w:rPr>
          <w:sz w:val="20"/>
        </w:rPr>
      </w:pPr>
      <w:r>
        <w:rPr>
          <w:sz w:val="20"/>
        </w:rPr>
      </w:r>
    </w:p>
    <w:p>
      <w:pPr>
        <w:pStyle w:val="Normal"/>
        <w:rPr>
          <w:sz w:val="20"/>
        </w:rPr>
      </w:pPr>
      <w:r>
        <w:rPr>
          <w:sz w:val="20"/>
        </w:rPr>
      </w:r>
      <w:r>
        <w:br w:type="page"/>
      </w:r>
    </w:p>
    <w:p>
      <w:pPr>
        <w:pStyle w:val="Normal"/>
        <w:numPr>
          <w:ilvl w:val="0"/>
          <w:numId w:val="5"/>
        </w:numPr>
        <w:rPr>
          <w:b/>
          <w:bCs/>
          <w:sz w:val="20"/>
        </w:rPr>
      </w:pPr>
      <w:r>
        <w:rPr>
          <w:b/>
          <w:bCs/>
          <w:sz w:val="20"/>
        </w:rPr>
        <w:t>Pricing</w:t>
      </w:r>
    </w:p>
    <w:p>
      <w:pPr>
        <w:pStyle w:val="Normal"/>
        <w:rPr>
          <w:b/>
          <w:bCs/>
          <w:sz w:val="20"/>
        </w:rPr>
      </w:pPr>
      <w:r>
        <w:rPr>
          <w:b/>
          <w:bCs/>
          <w:sz w:val="20"/>
        </w:rPr>
      </w:r>
    </w:p>
    <w:p>
      <w:pPr>
        <w:pStyle w:val="Normal"/>
        <w:rPr>
          <w:sz w:val="20"/>
        </w:rPr>
      </w:pPr>
      <w:r>
        <w:rPr>
          <w:sz w:val="20"/>
        </w:rPr>
        <w:t>Currently the suite of applications requested by ACME, for object code licensing would be approximately $x0 million, depending on the modules required.  Included in this price is a team of support professionals, available full-time for one year (expenses are the responsibility of ACME).  The team will consist of one half-time project director, 3 senior technology managers and 2 technology analysts.</w:t>
      </w:r>
    </w:p>
    <w:p>
      <w:pPr>
        <w:pStyle w:val="Normal"/>
        <w:rPr>
          <w:sz w:val="20"/>
        </w:rPr>
      </w:pPr>
      <w:r>
        <w:rPr>
          <w:sz w:val="20"/>
        </w:rPr>
      </w:r>
    </w:p>
    <w:p>
      <w:pPr>
        <w:pStyle w:val="Normal"/>
        <w:rPr>
          <w:sz w:val="20"/>
        </w:rPr>
      </w:pPr>
      <w:r>
        <w:rPr>
          <w:sz w:val="20"/>
        </w:rPr>
        <w:t>Additional support resources are available at the following prices:</w:t>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Category</w:t>
            </w:r>
          </w:p>
        </w:tc>
        <w:tc>
          <w:tcPr>
            <w:tcW w:w="4428" w:type="dxa"/>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sz w:val="20"/>
                <w:u w:val="single"/>
              </w:rPr>
              <w:t>Daily Rate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Director/VP/Managing Director</w:t>
            </w:r>
          </w:p>
          <w:p>
            <w:pPr>
              <w:pStyle w:val="Normal"/>
              <w:rPr>
                <w:sz w:val="20"/>
              </w:rPr>
            </w:pPr>
            <w:r>
              <w:rPr>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$x000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Senior Technology Manager</w:t>
            </w:r>
          </w:p>
          <w:p>
            <w:pPr>
              <w:pStyle w:val="Normal"/>
              <w:rPr>
                <w:sz w:val="20"/>
              </w:rPr>
            </w:pPr>
            <w:r>
              <w:rPr>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$xx00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Manager</w:t>
            </w:r>
          </w:p>
          <w:p>
            <w:pPr>
              <w:pStyle w:val="Normal"/>
              <w:rPr>
                <w:sz w:val="20"/>
              </w:rPr>
            </w:pPr>
            <w:r>
              <w:rPr>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$x000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Analyst</w:t>
            </w:r>
          </w:p>
          <w:p>
            <w:pPr>
              <w:pStyle w:val="Normal"/>
              <w:rPr>
                <w:sz w:val="20"/>
              </w:rPr>
            </w:pPr>
            <w:r>
              <w:rPr>
                <w:sz w:val="20"/>
              </w:rPr>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$xx00</w:t>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45 Light">
    <w:charset w:val="00" w:characterSet="windows-1252"/>
    <w:family w:val="auto"/>
    <w:pitch w:val="default"/>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5"/>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Verdana" w:hAnsi="Verdana" w:cs="Verdana"/>
      <w:b/>
      <w:color w:val="000000"/>
      <w:sz w:val="20"/>
      <w:szCs w:val="20"/>
    </w:rPr>
  </w:style>
  <w:style w:type="paragraph" w:styleId="Heading2">
    <w:name w:val="heading 2"/>
    <w:basedOn w:val="Normal"/>
    <w:next w:val="Normal"/>
    <w:qFormat/>
    <w:pPr>
      <w:keepNext w:val="true"/>
      <w:numPr>
        <w:ilvl w:val="1"/>
        <w:numId w:val="1"/>
      </w:numPr>
      <w:ind w:hanging="0" w:start="720" w:end="0"/>
      <w:outlineLvl w:val="1"/>
    </w:pPr>
    <w:rPr>
      <w:rFonts w:ascii="Verdana" w:hAnsi="Verdana" w:cs="Verdana"/>
      <w:b/>
      <w:color w:val="000000"/>
      <w:sz w:val="20"/>
      <w:szCs w:val="20"/>
      <w:u w:val="single"/>
    </w:rPr>
  </w:style>
  <w:style w:type="paragraph" w:styleId="Heading3">
    <w:name w:val="heading 3"/>
    <w:basedOn w:val="Normal"/>
    <w:next w:val="Normal"/>
    <w:qFormat/>
    <w:pPr>
      <w:keepNext w:val="true"/>
      <w:numPr>
        <w:ilvl w:val="2"/>
        <w:numId w:val="1"/>
      </w:numPr>
      <w:outlineLvl w:val="2"/>
    </w:pPr>
    <w:rPr>
      <w:b/>
      <w:color w:val="000000"/>
      <w:sz w:val="20"/>
      <w:szCs w:val="20"/>
      <w:u w:val="single"/>
    </w:rPr>
  </w:style>
  <w:style w:type="paragraph" w:styleId="Heading4">
    <w:name w:val="heading 4"/>
    <w:basedOn w:val="Normal"/>
    <w:next w:val="Normal"/>
    <w:qFormat/>
    <w:pPr>
      <w:keepNext w:val="true"/>
      <w:numPr>
        <w:ilvl w:val="3"/>
        <w:numId w:val="1"/>
      </w:numPr>
      <w:ind w:hanging="0" w:start="720" w:end="0"/>
      <w:outlineLvl w:val="3"/>
    </w:pPr>
    <w:rPr>
      <w:color w:val="000000"/>
      <w:sz w:val="20"/>
      <w:szCs w:val="20"/>
      <w:u w:val="single"/>
    </w:rPr>
  </w:style>
  <w:style w:type="paragraph" w:styleId="Heading5">
    <w:name w:val="heading 5"/>
    <w:basedOn w:val="Normal"/>
    <w:next w:val="Normal"/>
    <w:qFormat/>
    <w:pPr>
      <w:keepNext w:val="true"/>
      <w:numPr>
        <w:ilvl w:val="4"/>
        <w:numId w:val="1"/>
      </w:numPr>
      <w:outlineLvl w:val="4"/>
    </w:pPr>
    <w:rPr>
      <w:b/>
      <w:bCs/>
      <w:sz w:val="20"/>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St5z0">
    <w:name w:val="WW8NumSt5z0"/>
    <w:qFormat/>
    <w:rPr>
      <w:rFonts w:ascii="Times New Roman" w:hAnsi="Times New Roman" w:cs="Times New Roman"/>
      <w:sz w:val="40"/>
    </w:rPr>
  </w:style>
  <w:style w:type="character" w:styleId="WW8NumSt7z0">
    <w:name w:val="WW8NumSt7z0"/>
    <w:qFormat/>
    <w:rPr>
      <w:rFonts w:ascii="Frutiger 45 Light" w:hAnsi="Frutiger 45 Light" w:cs="Frutiger 45 Light"/>
      <w:sz w:val="20"/>
    </w:rPr>
  </w:style>
  <w:style w:type="character" w:styleId="DefaultParagraphFont">
    <w:name w:val="Default Paragraph Font"/>
    <w:qFormat/>
    <w:rPr/>
  </w:style>
  <w:style w:type="paragraph" w:styleId="Heading">
    <w:name w:val="Heading"/>
    <w:basedOn w:val="Normal"/>
    <w:next w:val="BodyText"/>
    <w:qFormat/>
    <w:pPr>
      <w:jc w:val="center"/>
    </w:pPr>
    <w:rPr>
      <w:rFonts w:ascii="Verdana" w:hAnsi="Verdana" w:cs="Verdana"/>
      <w:b/>
      <w:color w:val="000000"/>
      <w:sz w:val="20"/>
      <w:szCs w:val="20"/>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Verdana" w:hAnsi="Verdana" w:cs="Verdana"/>
      <w:color w:val="000000"/>
      <w:sz w:val="20"/>
      <w:szCs w:val="20"/>
    </w:rPr>
  </w:style>
  <w:style w:type="paragraph" w:styleId="BodyText2">
    <w:name w:val="Body Text 2"/>
    <w:basedOn w:val="Normal"/>
    <w:qFormat/>
    <w:pPr/>
    <w:rPr>
      <w:rFonts w:ascii="Verdana" w:hAnsi="Verdana" w:cs="Verdana"/>
      <w:color w:val="000000"/>
      <w:sz w:val="20"/>
      <w:szCs w:val="20"/>
    </w:rPr>
  </w:style>
  <w:style w:type="paragraph" w:styleId="Appdx">
    <w:name w:val="Appdx"/>
    <w:basedOn w:val="Normal"/>
    <w:qFormat/>
    <w:pPr>
      <w:spacing w:lineRule="atLeast" w:line="260"/>
      <w:ind w:hanging="0" w:start="-284" w:end="0"/>
    </w:pPr>
    <w:rPr>
      <w:rFonts w:ascii="Book Antiqua" w:hAnsi="Book Antiqua" w:cs="Book Antiqua"/>
      <w:b/>
      <w:sz w:val="22"/>
      <w:szCs w:val="20"/>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2001-03-15T17:07:00Z</dcterms:created>
  <dc:creator>sabbanat</dc:creator>
  <dc:description/>
  <dc:language>en-CA</dc:language>
  <cp:lastModifiedBy>sabbanat</cp:lastModifiedBy>
  <cp:lastPrinted>2001-03-15T12:12:00Z</cp:lastPrinted>
  <dcterms:modified xsi:type="dcterms:W3CDTF">2001-03-15T18:13:00Z</dcterms:modified>
  <cp:revision>5</cp:revision>
  <dc:subject/>
  <dc:title>Enron Company Background and Mission </dc:title>
</cp:coreProperties>
</file>