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media/image1.png" ContentType="image/png"/>
  <Override PartName="/word/media/image2.wmf" ContentType="image/x-wmf"/>
  <Override PartName="/word/embeddings/oleObject1.bin" ContentType="application/vnd.openxmlformats-officedocument.oleObject"/>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60"/>
        <w:rPr>
          <w:sz w:val="2"/>
        </w:rPr>
      </w:pPr>
      <w:r>
        <w:rPr>
          <w:sz w:val="2"/>
        </w:rPr>
      </w:r>
      <w:r>
        <mc:AlternateContent>
          <mc:Choice Requires="wps">
            <w:drawing>
              <wp:anchor behindDoc="0" distT="0" distB="0" distL="114300" distR="114300" simplePos="0" locked="0" layoutInCell="0" allowOverlap="1" relativeHeight="2">
                <wp:simplePos x="0" y="0"/>
                <wp:positionH relativeFrom="page">
                  <wp:posOffset>1057910</wp:posOffset>
                </wp:positionH>
                <wp:positionV relativeFrom="paragraph">
                  <wp:posOffset>-647065</wp:posOffset>
                </wp:positionV>
                <wp:extent cx="3820160" cy="2964180"/>
                <wp:effectExtent l="0" t="0" r="0" b="0"/>
                <wp:wrapSquare wrapText="bothSides"/>
                <wp:docPr id="1" name="Frame1"/>
                <a:graphic xmlns:a="http://schemas.openxmlformats.org/drawingml/2006/main">
                  <a:graphicData uri="http://schemas.microsoft.com/office/word/2010/wordprocessingShape">
                    <wps:wsp>
                      <wps:cNvSpPr txBox="1"/>
                      <wps:spPr>
                        <a:xfrm>
                          <a:off x="0" y="0"/>
                          <a:ext cx="3820160" cy="2964180"/>
                        </a:xfrm>
                        <a:prstGeom prst="rect"/>
                        <a:solidFill>
                          <a:srgbClr val="FFFFFF">
                            <a:alpha val="0"/>
                          </a:srgbClr>
                        </a:solidFill>
                      </wps:spPr>
                      <wps:txbx>
                        <w:txbxContent>
                          <w:p>
                            <w:pPr>
                              <w:pStyle w:val="Normal"/>
                              <w:spacing w:before="60" w:after="60"/>
                              <w:rPr>
                                <w:lang w:val="en-CA"/>
                              </w:rPr>
                            </w:pPr>
                            <w:r>
                              <w:rPr>
                                <w:lang w:val="en-CA"/>
                              </w:rPr>
                              <w:drawing>
                                <wp:inline distT="0" distB="0" distL="0" distR="0">
                                  <wp:extent cx="1280160" cy="12801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1" t="-31" r="-31" b="-31"/>
                                          <a:stretch>
                                            <a:fillRect/>
                                          </a:stretch>
                                        </pic:blipFill>
                                        <pic:spPr bwMode="auto">
                                          <a:xfrm>
                                            <a:off x="0" y="0"/>
                                            <a:ext cx="1280160" cy="1280160"/>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Normal"/>
                              <w:rPr/>
                            </w:pPr>
                            <w:r>
                              <w:rPr/>
                            </w:r>
                          </w:p>
                          <w:p>
                            <w:pPr>
                              <w:pStyle w:val="Normal"/>
                              <w:spacing w:before="0" w:after="0"/>
                              <w:rPr>
                                <w:rFonts w:ascii="Arial" w:hAnsi="Arial" w:cs="Arial"/>
                                <w:b/>
                                <w:sz w:val="24"/>
                              </w:rPr>
                            </w:pPr>
                            <w:r>
                              <w:rPr>
                                <w:rFonts w:cs="Arial" w:ascii="Arial" w:hAnsi="Arial"/>
                                <w:b/>
                                <w:sz w:val="24"/>
                              </w:rPr>
                            </w:r>
                          </w:p>
                          <w:p>
                            <w:pPr>
                              <w:pStyle w:val="Normal"/>
                              <w:spacing w:before="0" w:after="0"/>
                              <w:rPr>
                                <w:rFonts w:ascii="Arial" w:hAnsi="Arial" w:cs="Arial"/>
                                <w:b/>
                                <w:sz w:val="24"/>
                              </w:rPr>
                            </w:pPr>
                            <w:r>
                              <w:rPr>
                                <w:rFonts w:cs="Arial" w:ascii="Arial" w:hAnsi="Arial"/>
                                <w:b/>
                                <w:sz w:val="24"/>
                              </w:rPr>
                            </w:r>
                          </w:p>
                          <w:p>
                            <w:pPr>
                              <w:pStyle w:val="Normal"/>
                              <w:spacing w:before="0" w:after="0"/>
                              <w:rPr>
                                <w:rFonts w:ascii="Arial" w:hAnsi="Arial" w:cs="Arial"/>
                              </w:rPr>
                            </w:pPr>
                            <w:r>
                              <w:rPr>
                                <w:rFonts w:cs="Arial" w:ascii="Arial" w:hAnsi="Arial"/>
                                <w:b/>
                                <w:sz w:val="24"/>
                              </w:rPr>
                              <w:t>Interoffice Memo</w:t>
                            </w:r>
                          </w:p>
                        </w:txbxContent>
                      </wps:txbx>
                      <wps:bodyPr anchor="t" lIns="0" tIns="0" rIns="0" bIns="0">
                        <a:noAutofit/>
                      </wps:bodyPr>
                    </wps:wsp>
                  </a:graphicData>
                </a:graphic>
              </wp:anchor>
            </w:drawing>
          </mc:Choice>
          <mc:Fallback>
            <w:pict>
              <v:rect fillcolor="#FFFFFF" style="position:absolute;rotation:-0;width:300.8pt;height:233.4pt;mso-wrap-distance-left:9pt;mso-wrap-distance-right:9pt;mso-wrap-distance-top:0pt;mso-wrap-distance-bottom:0pt;margin-top:-50.95pt;mso-position-vertical-relative:text;margin-left:83.3pt;mso-position-horizontal-relative:page">
                <v:fill opacity="0f"/>
                <v:textbox inset="0in,0in,0in,0in">
                  <w:txbxContent>
                    <w:p>
                      <w:pPr>
                        <w:pStyle w:val="Normal"/>
                        <w:spacing w:before="60" w:after="60"/>
                        <w:rPr>
                          <w:lang w:val="en-CA"/>
                        </w:rPr>
                      </w:pPr>
                      <w:r>
                        <w:rPr>
                          <w:lang w:val="en-CA"/>
                        </w:rPr>
                        <w:drawing>
                          <wp:inline distT="0" distB="0" distL="0" distR="0">
                            <wp:extent cx="1280160" cy="12801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31" t="-31" r="-31" b="-31"/>
                                    <a:stretch>
                                      <a:fillRect/>
                                    </a:stretch>
                                  </pic:blipFill>
                                  <pic:spPr bwMode="auto">
                                    <a:xfrm>
                                      <a:off x="0" y="0"/>
                                      <a:ext cx="1280160" cy="1280160"/>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Normal"/>
                        <w:rPr/>
                      </w:pPr>
                      <w:r>
                        <w:rPr/>
                      </w:r>
                    </w:p>
                    <w:p>
                      <w:pPr>
                        <w:pStyle w:val="Normal"/>
                        <w:spacing w:before="0" w:after="0"/>
                        <w:rPr>
                          <w:rFonts w:ascii="Arial" w:hAnsi="Arial" w:cs="Arial"/>
                          <w:b/>
                          <w:sz w:val="24"/>
                        </w:rPr>
                      </w:pPr>
                      <w:r>
                        <w:rPr>
                          <w:rFonts w:cs="Arial" w:ascii="Arial" w:hAnsi="Arial"/>
                          <w:b/>
                          <w:sz w:val="24"/>
                        </w:rPr>
                      </w:r>
                    </w:p>
                    <w:p>
                      <w:pPr>
                        <w:pStyle w:val="Normal"/>
                        <w:spacing w:before="0" w:after="0"/>
                        <w:rPr>
                          <w:rFonts w:ascii="Arial" w:hAnsi="Arial" w:cs="Arial"/>
                          <w:b/>
                          <w:sz w:val="24"/>
                        </w:rPr>
                      </w:pPr>
                      <w:r>
                        <w:rPr>
                          <w:rFonts w:cs="Arial" w:ascii="Arial" w:hAnsi="Arial"/>
                          <w:b/>
                          <w:sz w:val="24"/>
                        </w:rPr>
                      </w:r>
                    </w:p>
                    <w:p>
                      <w:pPr>
                        <w:pStyle w:val="Normal"/>
                        <w:spacing w:before="0" w:after="0"/>
                        <w:rPr>
                          <w:rFonts w:ascii="Arial" w:hAnsi="Arial" w:cs="Arial"/>
                        </w:rPr>
                      </w:pPr>
                      <w:r>
                        <w:rPr>
                          <w:rFonts w:cs="Arial" w:ascii="Arial" w:hAnsi="Arial"/>
                          <w:b/>
                          <w:sz w:val="24"/>
                        </w:rPr>
                        <w:t>Interoffice Memo</w:t>
                      </w:r>
                    </w:p>
                  </w:txbxContent>
                </v:textbox>
                <w10:wrap type="square"/>
              </v:rect>
            </w:pict>
          </mc:Fallback>
        </mc:AlternateContent>
      </w:r>
    </w:p>
    <w:tbl>
      <w:tblPr>
        <w:tblW w:w="8748" w:type="dxa"/>
        <w:jc w:val="start"/>
        <w:tblInd w:w="0" w:type="dxa"/>
        <w:tblLayout w:type="fixed"/>
        <w:tblCellMar>
          <w:top w:w="0" w:type="dxa"/>
          <w:start w:w="108" w:type="dxa"/>
          <w:bottom w:w="0" w:type="dxa"/>
          <w:end w:w="108" w:type="dxa"/>
        </w:tblCellMar>
      </w:tblPr>
      <w:tblGrid>
        <w:gridCol w:w="1188"/>
        <w:gridCol w:w="7560"/>
      </w:tblGrid>
      <w:tr>
        <w:trPr/>
        <w:tc>
          <w:tcPr>
            <w:tcW w:w="1188" w:type="dxa"/>
            <w:tcBorders/>
          </w:tcPr>
          <w:p>
            <w:pPr>
              <w:pStyle w:val="Normal"/>
              <w:spacing w:before="60" w:after="60"/>
              <w:rPr>
                <w:rFonts w:ascii="Arial" w:hAnsi="Arial" w:cs="Arial"/>
                <w:sz w:val="24"/>
              </w:rPr>
            </w:pPr>
            <w:r>
              <w:rPr>
                <w:rFonts w:cs="Arial" w:ascii="Arial" w:hAnsi="Arial"/>
                <w:b/>
                <w:sz w:val="24"/>
              </w:rPr>
              <w:t>To:</w:t>
            </w:r>
          </w:p>
        </w:tc>
        <w:tc>
          <w:tcPr>
            <w:tcW w:w="7560" w:type="dxa"/>
            <w:tcBorders/>
          </w:tcPr>
          <w:p>
            <w:pPr>
              <w:pStyle w:val="To"/>
              <w:spacing w:before="60" w:after="60"/>
              <w:rPr>
                <w:rFonts w:ascii="Arial" w:hAnsi="Arial" w:cs="Arial"/>
                <w:sz w:val="24"/>
              </w:rPr>
            </w:pPr>
            <w:bookmarkStart w:id="0" w:name="To"/>
            <w:bookmarkEnd w:id="0"/>
            <w:r>
              <w:rPr>
                <w:rFonts w:cs="Arial" w:ascii="Arial" w:hAnsi="Arial"/>
                <w:sz w:val="24"/>
              </w:rPr>
              <w:t>All Enron India Employees</w:t>
            </w:r>
          </w:p>
        </w:tc>
      </w:tr>
      <w:tr>
        <w:trPr/>
        <w:tc>
          <w:tcPr>
            <w:tcW w:w="1188" w:type="dxa"/>
            <w:tcBorders/>
          </w:tcPr>
          <w:p>
            <w:pPr>
              <w:pStyle w:val="Normal"/>
              <w:spacing w:before="60" w:after="60"/>
              <w:rPr>
                <w:rFonts w:ascii="Arial" w:hAnsi="Arial" w:cs="Arial"/>
                <w:sz w:val="24"/>
              </w:rPr>
            </w:pPr>
            <w:r>
              <w:rPr>
                <w:rFonts w:cs="Arial" w:ascii="Arial" w:hAnsi="Arial"/>
                <w:b/>
                <w:sz w:val="24"/>
              </w:rPr>
              <w:t>From:</w:t>
            </w:r>
          </w:p>
        </w:tc>
        <w:tc>
          <w:tcPr>
            <w:tcW w:w="7560" w:type="dxa"/>
            <w:tcBorders/>
          </w:tcPr>
          <w:p>
            <w:pPr>
              <w:pStyle w:val="From"/>
              <w:spacing w:before="60" w:after="60"/>
              <w:rPr>
                <w:rFonts w:ascii="Arial" w:hAnsi="Arial" w:cs="Arial"/>
                <w:sz w:val="24"/>
              </w:rPr>
            </w:pPr>
            <w:bookmarkStart w:id="1" w:name="From"/>
            <w:bookmarkEnd w:id="1"/>
            <w:r>
              <w:rPr>
                <w:rFonts w:cs="Arial" w:ascii="Arial" w:hAnsi="Arial"/>
                <w:sz w:val="24"/>
              </w:rPr>
              <w:t>Sanjay Bhatnagar and Wade Cline</w:t>
            </w:r>
          </w:p>
        </w:tc>
      </w:tr>
      <w:tr>
        <w:trPr/>
        <w:tc>
          <w:tcPr>
            <w:tcW w:w="1188" w:type="dxa"/>
            <w:tcBorders/>
          </w:tcPr>
          <w:p>
            <w:pPr>
              <w:pStyle w:val="Normal"/>
              <w:spacing w:before="60" w:after="60"/>
              <w:rPr>
                <w:rFonts w:ascii="Arial" w:hAnsi="Arial" w:cs="Arial"/>
                <w:sz w:val="24"/>
              </w:rPr>
            </w:pPr>
            <w:r>
              <w:rPr>
                <w:rFonts w:cs="Arial" w:ascii="Arial" w:hAnsi="Arial"/>
                <w:b/>
                <w:sz w:val="24"/>
              </w:rPr>
              <w:t>Date:</w:t>
            </w:r>
          </w:p>
        </w:tc>
        <w:tc>
          <w:tcPr>
            <w:tcW w:w="7560" w:type="dxa"/>
            <w:tcBorders/>
          </w:tcPr>
          <w:p>
            <w:pPr>
              <w:pStyle w:val="Date"/>
              <w:spacing w:before="60" w:after="60"/>
              <w:rPr>
                <w:rFonts w:ascii="Arial" w:hAnsi="Arial" w:cs="Arial"/>
                <w:sz w:val="24"/>
              </w:rPr>
            </w:pPr>
            <w:r>
              <w:rPr>
                <w:rFonts w:cs="Arial" w:ascii="Arial" w:hAnsi="Arial"/>
                <w:sz w:val="24"/>
              </w:rPr>
              <w:t>November 2, 2000</w:t>
            </w:r>
          </w:p>
        </w:tc>
      </w:tr>
      <w:tr>
        <w:trPr/>
        <w:tc>
          <w:tcPr>
            <w:tcW w:w="1188" w:type="dxa"/>
            <w:tcBorders/>
          </w:tcPr>
          <w:p>
            <w:pPr>
              <w:pStyle w:val="Normal"/>
              <w:spacing w:before="60" w:after="60"/>
              <w:rPr>
                <w:rFonts w:ascii="Arial" w:hAnsi="Arial" w:cs="Arial"/>
                <w:sz w:val="24"/>
              </w:rPr>
            </w:pPr>
            <w:r>
              <w:rPr>
                <w:rFonts w:cs="Arial" w:ascii="Arial" w:hAnsi="Arial"/>
                <w:b/>
                <w:sz w:val="24"/>
              </w:rPr>
              <w:t>Subject:</w:t>
            </w:r>
          </w:p>
        </w:tc>
        <w:tc>
          <w:tcPr>
            <w:tcW w:w="7560" w:type="dxa"/>
            <w:tcBorders/>
          </w:tcPr>
          <w:p>
            <w:pPr>
              <w:pStyle w:val="Subject"/>
              <w:spacing w:before="60" w:after="60"/>
              <w:rPr>
                <w:rFonts w:ascii="Arial" w:hAnsi="Arial" w:cs="Arial"/>
                <w:sz w:val="24"/>
              </w:rPr>
            </w:pPr>
            <w:bookmarkStart w:id="2" w:name="Subject"/>
            <w:bookmarkEnd w:id="2"/>
            <w:r>
              <w:rPr>
                <w:rFonts w:cs="Arial" w:ascii="Arial" w:hAnsi="Arial"/>
                <w:sz w:val="24"/>
              </w:rPr>
              <w:t>Enron India Organization</w:t>
            </w:r>
          </w:p>
        </w:tc>
      </w:tr>
      <w:tr>
        <w:trPr/>
        <w:tc>
          <w:tcPr>
            <w:tcW w:w="1188" w:type="dxa"/>
            <w:tcBorders>
              <w:bottom w:val="single" w:sz="18" w:space="0" w:color="000000"/>
            </w:tcBorders>
          </w:tcPr>
          <w:p>
            <w:pPr>
              <w:pStyle w:val="Normal"/>
              <w:snapToGrid w:val="false"/>
              <w:spacing w:before="60" w:after="60"/>
              <w:rPr>
                <w:rFonts w:ascii="Arial" w:hAnsi="Arial" w:cs="Arial"/>
                <w:b/>
                <w:sz w:val="24"/>
              </w:rPr>
            </w:pPr>
            <w:r>
              <w:rPr>
                <w:rFonts w:cs="Arial" w:ascii="Arial" w:hAnsi="Arial"/>
                <w:b/>
                <w:sz w:val="24"/>
              </w:rPr>
            </w:r>
          </w:p>
        </w:tc>
        <w:tc>
          <w:tcPr>
            <w:tcW w:w="7560" w:type="dxa"/>
            <w:tcBorders>
              <w:bottom w:val="single" w:sz="18" w:space="0" w:color="000000"/>
            </w:tcBorders>
          </w:tcPr>
          <w:p>
            <w:pPr>
              <w:pStyle w:val="Subject"/>
              <w:snapToGrid w:val="false"/>
              <w:spacing w:before="60" w:after="60"/>
              <w:rPr>
                <w:rFonts w:ascii="Arial" w:hAnsi="Arial" w:cs="Arial"/>
                <w:b/>
              </w:rPr>
            </w:pPr>
            <w:r>
              <w:rPr>
                <w:rFonts w:cs="Arial" w:ascii="Arial" w:hAnsi="Arial"/>
                <w:b/>
              </w:rPr>
            </w:r>
          </w:p>
        </w:tc>
      </w:tr>
    </w:tbl>
    <w:p>
      <w:pPr>
        <w:pStyle w:val="BodyText"/>
        <w:spacing w:before="0" w:after="0"/>
        <w:rPr>
          <w:rFonts w:ascii="Arial" w:hAnsi="Arial" w:cs="Arial"/>
        </w:rPr>
      </w:pPr>
      <w:r>
        <w:rPr>
          <w:rFonts w:cs="Arial" w:ascii="Arial" w:hAnsi="Arial"/>
        </w:rPr>
      </w:r>
    </w:p>
    <w:p>
      <w:pPr>
        <w:pStyle w:val="Normal"/>
        <w:spacing w:before="0" w:after="0"/>
        <w:ind w:firstLine="720" w:end="0"/>
        <w:rPr>
          <w:rFonts w:ascii="Arial" w:hAnsi="Arial" w:cs="Arial"/>
          <w:sz w:val="24"/>
        </w:rPr>
      </w:pPr>
      <w:r>
        <w:rPr>
          <w:rFonts w:cs="Arial" w:ascii="Arial" w:hAnsi="Arial"/>
          <w:sz w:val="24"/>
        </w:rPr>
        <w:t xml:space="preserve">We are moving forward with great speed and progress toward year-end 2000 and are well underway in our plans for 2001. To help us meet the very aggressive but achievable targets we have for each of these periods, we are making certain organizational changes. </w:t>
      </w:r>
    </w:p>
    <w:p>
      <w:pPr>
        <w:pStyle w:val="Normal"/>
        <w:spacing w:before="0" w:after="0"/>
        <w:rPr>
          <w:rFonts w:ascii="Arial" w:hAnsi="Arial" w:cs="Arial"/>
          <w:sz w:val="24"/>
        </w:rPr>
      </w:pPr>
      <w:r>
        <w:rPr>
          <w:rFonts w:cs="Arial" w:ascii="Arial" w:hAnsi="Arial"/>
          <w:sz w:val="24"/>
        </w:rPr>
      </w:r>
    </w:p>
    <w:p>
      <w:pPr>
        <w:pStyle w:val="Normal"/>
        <w:spacing w:before="0" w:after="0"/>
        <w:rPr>
          <w:rFonts w:ascii="Arial" w:hAnsi="Arial" w:cs="Arial"/>
          <w:sz w:val="24"/>
        </w:rPr>
      </w:pPr>
      <w:r>
        <w:rPr>
          <w:rFonts w:cs="Arial" w:ascii="Arial" w:hAnsi="Arial"/>
          <w:sz w:val="24"/>
        </w:rPr>
        <w:tab/>
        <w:t>Our 4 key areas of focus for the remainder of this year as well as into 2001 are the following:</w:t>
      </w:r>
    </w:p>
    <w:p>
      <w:pPr>
        <w:pStyle w:val="Normal"/>
        <w:spacing w:before="0" w:after="0"/>
        <w:rPr>
          <w:rFonts w:ascii="Arial" w:hAnsi="Arial" w:cs="Arial"/>
          <w:sz w:val="24"/>
        </w:rPr>
      </w:pPr>
      <w:r>
        <w:rPr>
          <w:rFonts w:cs="Arial" w:ascii="Arial" w:hAnsi="Arial"/>
          <w:sz w:val="24"/>
        </w:rPr>
      </w:r>
    </w:p>
    <w:p>
      <w:pPr>
        <w:pStyle w:val="Normal"/>
        <w:numPr>
          <w:ilvl w:val="0"/>
          <w:numId w:val="3"/>
        </w:numPr>
        <w:spacing w:before="0" w:after="0"/>
        <w:rPr>
          <w:rFonts w:ascii="Arial" w:hAnsi="Arial" w:cs="Arial"/>
          <w:sz w:val="24"/>
        </w:rPr>
      </w:pPr>
      <w:r>
        <w:rPr>
          <w:rFonts w:cs="Arial" w:ascii="Arial" w:hAnsi="Arial"/>
          <w:sz w:val="24"/>
        </w:rPr>
        <w:t>DPC</w:t>
      </w:r>
    </w:p>
    <w:p>
      <w:pPr>
        <w:pStyle w:val="Normal"/>
        <w:numPr>
          <w:ilvl w:val="0"/>
          <w:numId w:val="3"/>
        </w:numPr>
        <w:spacing w:before="0" w:after="0"/>
        <w:rPr>
          <w:rFonts w:ascii="Arial" w:hAnsi="Arial" w:cs="Arial"/>
          <w:sz w:val="24"/>
        </w:rPr>
      </w:pPr>
      <w:r>
        <w:rPr>
          <w:rFonts w:cs="Arial" w:ascii="Arial" w:hAnsi="Arial"/>
          <w:sz w:val="24"/>
        </w:rPr>
        <w:t>Metgas</w:t>
      </w:r>
    </w:p>
    <w:p>
      <w:pPr>
        <w:pStyle w:val="Normal"/>
        <w:numPr>
          <w:ilvl w:val="0"/>
          <w:numId w:val="3"/>
        </w:numPr>
        <w:spacing w:before="0" w:after="0"/>
        <w:rPr>
          <w:rFonts w:ascii="Arial" w:hAnsi="Arial" w:cs="Arial"/>
          <w:sz w:val="24"/>
        </w:rPr>
      </w:pPr>
      <w:r>
        <w:rPr>
          <w:rFonts w:cs="Arial" w:ascii="Arial" w:hAnsi="Arial"/>
          <w:sz w:val="24"/>
        </w:rPr>
        <w:t>Broadband Services</w:t>
      </w:r>
    </w:p>
    <w:p>
      <w:pPr>
        <w:pStyle w:val="Normal"/>
        <w:numPr>
          <w:ilvl w:val="0"/>
          <w:numId w:val="3"/>
        </w:numPr>
        <w:spacing w:before="0" w:after="0"/>
        <w:rPr>
          <w:rFonts w:ascii="Arial" w:hAnsi="Arial" w:cs="Arial"/>
          <w:sz w:val="24"/>
        </w:rPr>
      </w:pPr>
      <w:r>
        <w:rPr>
          <w:rFonts w:cs="Arial" w:ascii="Arial" w:hAnsi="Arial"/>
          <w:sz w:val="24"/>
        </w:rPr>
        <w:t>Trading</w:t>
      </w:r>
    </w:p>
    <w:p>
      <w:pPr>
        <w:pStyle w:val="Normal"/>
        <w:spacing w:before="0" w:after="0"/>
        <w:rPr>
          <w:rFonts w:ascii="Arial" w:hAnsi="Arial" w:cs="Arial"/>
          <w:sz w:val="24"/>
        </w:rPr>
      </w:pPr>
      <w:r>
        <w:rPr>
          <w:rFonts w:cs="Arial" w:ascii="Arial" w:hAnsi="Arial"/>
          <w:sz w:val="24"/>
        </w:rPr>
      </w:r>
    </w:p>
    <w:p>
      <w:pPr>
        <w:pStyle w:val="Normal"/>
        <w:spacing w:before="0" w:after="0"/>
        <w:ind w:firstLine="360" w:end="0"/>
        <w:rPr>
          <w:rFonts w:ascii="Arial" w:hAnsi="Arial" w:cs="Arial"/>
          <w:sz w:val="24"/>
        </w:rPr>
      </w:pPr>
      <w:r>
        <w:rPr>
          <w:rFonts w:cs="Arial" w:ascii="Arial" w:hAnsi="Arial"/>
          <w:sz w:val="24"/>
        </w:rPr>
        <w:t xml:space="preserve">In addition, the sale of 15% of Dabhol equity, which is being led by Bill Gathmann, has to be accomplished this year. </w:t>
      </w:r>
    </w:p>
    <w:p>
      <w:pPr>
        <w:pStyle w:val="Normal"/>
        <w:spacing w:before="0" w:after="0"/>
        <w:ind w:firstLine="360" w:end="0"/>
        <w:rPr>
          <w:rFonts w:ascii="Arial" w:hAnsi="Arial" w:cs="Arial"/>
          <w:sz w:val="24"/>
        </w:rPr>
      </w:pPr>
      <w:r>
        <w:rPr>
          <w:rFonts w:cs="Arial" w:ascii="Arial" w:hAnsi="Arial"/>
          <w:sz w:val="24"/>
        </w:rPr>
      </w:r>
    </w:p>
    <w:p>
      <w:pPr>
        <w:pStyle w:val="Heading5"/>
        <w:spacing w:before="0" w:after="0"/>
        <w:ind w:hanging="0" w:start="0"/>
        <w:rPr/>
      </w:pPr>
      <w:r>
        <w:rPr/>
        <w:t>DABHOL POWER</w:t>
      </w:r>
    </w:p>
    <w:p>
      <w:pPr>
        <w:pStyle w:val="Normal"/>
        <w:spacing w:before="0" w:after="0"/>
        <w:ind w:firstLine="360" w:end="0"/>
        <w:rPr>
          <w:rFonts w:ascii="Arial" w:hAnsi="Arial" w:cs="Arial"/>
          <w:sz w:val="24"/>
        </w:rPr>
      </w:pPr>
      <w:r>
        <w:rPr>
          <w:rFonts w:cs="Arial" w:ascii="Arial" w:hAnsi="Arial"/>
          <w:sz w:val="24"/>
        </w:rPr>
      </w:r>
    </w:p>
    <w:p>
      <w:pPr>
        <w:pStyle w:val="BodyTextIndent"/>
        <w:rPr/>
      </w:pPr>
      <w:r>
        <w:rPr/>
        <w:t xml:space="preserve">Neil McGregor will be announcing certain organizational changes soon, and we are confident that these changes will allow DPC to exceed its 2000 objectives as well as start working toward meeting its aggressive 2001 targets.  As DPC progresses toward Phase II commercial operations, the DPC management team has proposed, and we have approved, some organizational changes that will allow DPC to efficiently focus on completing construction and continue its transition into a world-class operating company. </w:t>
      </w:r>
    </w:p>
    <w:p>
      <w:pPr>
        <w:pStyle w:val="Normal"/>
        <w:spacing w:before="0" w:after="0"/>
        <w:ind w:firstLine="360" w:end="0"/>
        <w:rPr>
          <w:rFonts w:ascii="Arial" w:hAnsi="Arial" w:cs="Arial"/>
          <w:sz w:val="24"/>
        </w:rPr>
      </w:pPr>
      <w:r>
        <w:rPr>
          <w:rFonts w:cs="Arial" w:ascii="Arial" w:hAnsi="Arial"/>
          <w:sz w:val="24"/>
        </w:rPr>
      </w:r>
    </w:p>
    <w:p>
      <w:pPr>
        <w:pStyle w:val="Heading5"/>
        <w:spacing w:before="0" w:after="0"/>
        <w:ind w:hanging="0" w:start="0"/>
        <w:rPr/>
      </w:pPr>
      <w:r>
        <w:rPr/>
        <w:t>METGAS</w:t>
      </w:r>
    </w:p>
    <w:p>
      <w:pPr>
        <w:pStyle w:val="Normal"/>
        <w:spacing w:before="0" w:after="0"/>
        <w:ind w:firstLine="360" w:end="0"/>
        <w:rPr>
          <w:rFonts w:ascii="Arial" w:hAnsi="Arial" w:cs="Arial"/>
          <w:sz w:val="24"/>
        </w:rPr>
      </w:pPr>
      <w:r>
        <w:rPr>
          <w:rFonts w:cs="Arial" w:ascii="Arial" w:hAnsi="Arial"/>
          <w:sz w:val="24"/>
        </w:rPr>
      </w:r>
    </w:p>
    <w:p>
      <w:pPr>
        <w:pStyle w:val="Normal"/>
        <w:spacing w:before="0" w:after="0"/>
        <w:ind w:firstLine="360" w:end="0"/>
        <w:rPr>
          <w:rFonts w:ascii="Arial" w:hAnsi="Arial" w:cs="Arial"/>
          <w:sz w:val="24"/>
        </w:rPr>
      </w:pPr>
      <w:r>
        <w:rPr>
          <w:rFonts w:cs="Arial" w:ascii="Arial" w:hAnsi="Arial"/>
          <w:sz w:val="24"/>
        </w:rPr>
        <w:t xml:space="preserve">As many of you are aware, our asset development and gas marketing activities have evolved in the past several months to be focused on building a gas business in India. On the asset side, this involves developing the Metgas pipeline and certain of its customers. On the gas marketing side, both the fuels group and LDC groups have been focused on building a gas business in India around Metgas. To streamline these groups and bring a consolidated focus on our gas business in India, we are combining several groups (asset development, pipeline development, fuels, LDC and EES) into one consolidated group under the Metgas organization. A.G. Gelotti will be the head of the Metgas organization, and reporting up to A.G. will be several groups. These include development under Kurt Lindahl (including all phases of the pipeline development, development engineering, construction, equity sales, and LDC development) and fuels under Ujjwal Dey (including downstream gas marketing, both to long-term bulk customers and LDC customers, plus coordination with upstream LNG supply). In addition, several functional groups will continue to support A.G. and the Metgas team. A.G. will be discussing these changes in more detail with the Metgas team, and providing a detailed organizational chart to the team, showing assignments and other functions, all as approved by both of us as well as AG. </w:t>
      </w:r>
    </w:p>
    <w:p>
      <w:pPr>
        <w:pStyle w:val="Normal"/>
        <w:spacing w:before="0" w:after="0"/>
        <w:ind w:firstLine="360" w:end="0"/>
        <w:rPr>
          <w:rFonts w:ascii="Arial" w:hAnsi="Arial" w:cs="Arial"/>
          <w:sz w:val="24"/>
        </w:rPr>
      </w:pPr>
      <w:r>
        <w:rPr>
          <w:rFonts w:cs="Arial" w:ascii="Arial" w:hAnsi="Arial"/>
          <w:sz w:val="24"/>
        </w:rPr>
      </w:r>
    </w:p>
    <w:p>
      <w:pPr>
        <w:pStyle w:val="Heading5"/>
        <w:spacing w:before="0" w:after="0"/>
        <w:ind w:hanging="0" w:start="0"/>
        <w:rPr/>
      </w:pPr>
      <w:r>
        <w:rPr/>
        <w:t>BROADBAND SERVICES</w:t>
      </w:r>
    </w:p>
    <w:p>
      <w:pPr>
        <w:pStyle w:val="Normal"/>
        <w:spacing w:before="0" w:after="0"/>
        <w:ind w:firstLine="360" w:end="0"/>
        <w:rPr>
          <w:rFonts w:ascii="Arial" w:hAnsi="Arial" w:cs="Arial"/>
          <w:sz w:val="24"/>
        </w:rPr>
      </w:pPr>
      <w:r>
        <w:rPr>
          <w:rFonts w:cs="Arial" w:ascii="Arial" w:hAnsi="Arial"/>
          <w:sz w:val="24"/>
        </w:rPr>
      </w:r>
    </w:p>
    <w:p>
      <w:pPr>
        <w:pStyle w:val="Normal"/>
        <w:spacing w:before="0" w:after="0"/>
        <w:ind w:firstLine="360" w:end="0"/>
        <w:rPr>
          <w:rFonts w:ascii="Arial" w:hAnsi="Arial" w:cs="Arial"/>
          <w:sz w:val="24"/>
        </w:rPr>
      </w:pPr>
      <w:r>
        <w:rPr>
          <w:rFonts w:cs="Arial" w:ascii="Arial" w:hAnsi="Arial"/>
          <w:sz w:val="24"/>
        </w:rPr>
        <w:t>On Broadband Services, this fast growing business continues to amaze us with its potential and the team has had tremendous accomplishments to date.  To capitalize on our success in India as well as build on the success of Enron Broadband Services globally, this group will now become part of Enron Broadband Services.  A separate organizational chart will be announced for this shortly, including the addition of a corporate development function within our regional broadband services group.</w:t>
      </w:r>
    </w:p>
    <w:p>
      <w:pPr>
        <w:pStyle w:val="Normal"/>
        <w:spacing w:before="0" w:after="0"/>
        <w:rPr>
          <w:rFonts w:ascii="Arial" w:hAnsi="Arial" w:cs="Arial"/>
          <w:sz w:val="24"/>
        </w:rPr>
      </w:pPr>
      <w:r>
        <w:rPr>
          <w:rFonts w:cs="Arial" w:ascii="Arial" w:hAnsi="Arial"/>
          <w:sz w:val="24"/>
        </w:rPr>
      </w:r>
    </w:p>
    <w:p>
      <w:pPr>
        <w:pStyle w:val="Heading5"/>
        <w:spacing w:before="0" w:after="0"/>
        <w:ind w:hanging="0" w:start="0"/>
        <w:rPr/>
      </w:pPr>
      <w:r>
        <w:rPr/>
        <w:t>TRADING</w:t>
      </w:r>
    </w:p>
    <w:p>
      <w:pPr>
        <w:pStyle w:val="Normal"/>
        <w:spacing w:before="0" w:after="0"/>
        <w:rPr>
          <w:rFonts w:ascii="Arial" w:hAnsi="Arial" w:cs="Arial"/>
          <w:sz w:val="24"/>
        </w:rPr>
      </w:pPr>
      <w:r>
        <w:rPr>
          <w:rFonts w:cs="Arial" w:ascii="Arial" w:hAnsi="Arial"/>
          <w:sz w:val="24"/>
        </w:rPr>
      </w:r>
    </w:p>
    <w:p>
      <w:pPr>
        <w:pStyle w:val="Normal"/>
        <w:spacing w:before="0" w:after="0"/>
        <w:rPr>
          <w:rFonts w:ascii="Arial" w:hAnsi="Arial" w:cs="Arial"/>
          <w:sz w:val="24"/>
        </w:rPr>
      </w:pPr>
      <w:r>
        <w:rPr>
          <w:rFonts w:cs="Arial" w:ascii="Arial" w:hAnsi="Arial"/>
          <w:sz w:val="24"/>
        </w:rPr>
        <w:tab/>
        <w:t>To capitalize on the growing opportunities for trading of energy commodities in India, as well as to integrate our activities completely into Enron’s worldwide trading group, we are formalizing a small, focused group to work on building a trading business in India. Sandeep Kohli will lead this group, and will be supported by a team led by Sunil Vaze. Sandeep will focus primarily on third party power sales from Dabhol Power (working with Mohan Gurunath and the commercial team at DPC), and Sunil will assist him in building other trading businesses such as coal, liquid fuels, metals and other commodities to be identified by the team. Sandeep and his team will coordinate very closely with Enron Global Markets and their efforts involving global commodity trading.  Sandeep will provide a detailed organization chart of this group as well, all as approved by us.</w:t>
      </w:r>
    </w:p>
    <w:p>
      <w:pPr>
        <w:pStyle w:val="Normal"/>
        <w:spacing w:before="0" w:after="0"/>
        <w:rPr>
          <w:rFonts w:ascii="Arial" w:hAnsi="Arial" w:cs="Arial"/>
          <w:sz w:val="24"/>
        </w:rPr>
      </w:pPr>
      <w:r>
        <w:rPr>
          <w:rFonts w:cs="Arial" w:ascii="Arial" w:hAnsi="Arial"/>
          <w:sz w:val="24"/>
        </w:rPr>
      </w:r>
    </w:p>
    <w:p>
      <w:pPr>
        <w:pStyle w:val="Heading5"/>
        <w:spacing w:before="0" w:after="0"/>
        <w:ind w:hanging="0" w:start="0"/>
        <w:rPr/>
      </w:pPr>
      <w:r>
        <w:rPr/>
        <w:t>EIPL GENERAL</w:t>
      </w:r>
    </w:p>
    <w:p>
      <w:pPr>
        <w:pStyle w:val="Normal"/>
        <w:spacing w:before="0" w:after="0"/>
        <w:rPr>
          <w:rFonts w:ascii="Arial" w:hAnsi="Arial" w:cs="Arial"/>
          <w:sz w:val="24"/>
        </w:rPr>
      </w:pPr>
      <w:r>
        <w:rPr>
          <w:rFonts w:cs="Arial" w:ascii="Arial" w:hAnsi="Arial"/>
          <w:sz w:val="24"/>
        </w:rPr>
      </w:r>
    </w:p>
    <w:p>
      <w:pPr>
        <w:pStyle w:val="Normal"/>
        <w:spacing w:before="0" w:after="0"/>
        <w:rPr>
          <w:rFonts w:ascii="Arial" w:hAnsi="Arial" w:cs="Arial"/>
          <w:sz w:val="24"/>
        </w:rPr>
      </w:pPr>
      <w:r>
        <w:rPr>
          <w:rFonts w:cs="Arial" w:ascii="Arial" w:hAnsi="Arial"/>
          <w:sz w:val="24"/>
        </w:rPr>
        <w:tab/>
        <w:t>At EIPL, we are going to push day-to-day decision-making even further down into the organization. In that regard, we are expanding the EIPL Management Committee and establishing an EIPL Executive Committee.  The Executive Committee will focus on overall strategy for the region and the meetings will be to not only communicate information but also make major decisions for the region. The Executive Committee will consist of Sanjay, Wade, Bill, Ananda, Neil and A.G.  The first meeting of the Executive Committee will be Friday, November 10 at 9.00 a.m., India time.</w:t>
      </w:r>
    </w:p>
    <w:p>
      <w:pPr>
        <w:pStyle w:val="Normal"/>
        <w:spacing w:before="0" w:after="0"/>
        <w:rPr>
          <w:rFonts w:ascii="Arial" w:hAnsi="Arial" w:cs="Arial"/>
          <w:sz w:val="24"/>
        </w:rPr>
      </w:pPr>
      <w:r>
        <w:rPr>
          <w:rFonts w:cs="Arial" w:ascii="Arial" w:hAnsi="Arial"/>
          <w:sz w:val="24"/>
        </w:rPr>
      </w:r>
    </w:p>
    <w:p>
      <w:pPr>
        <w:pStyle w:val="BodyTextIndent2"/>
        <w:rPr/>
      </w:pPr>
      <w:r>
        <w:rPr/>
        <w:t>The EIPL Management Committee will be broader in its membership, and its once per week meetings will focus on sharing information across all business and functional units as well as ensuring that each group has the proper resources and focus. The Management Committee will meet at 9:00AM on Thursday mornings, India time (starting Thursday, November 9), and the meetings will last for approximately 90 minutes. The members of the Management Committee will consist of:</w:t>
      </w:r>
    </w:p>
    <w:p>
      <w:pPr>
        <w:pStyle w:val="Normal"/>
        <w:spacing w:before="0" w:after="0"/>
        <w:rPr>
          <w:rFonts w:ascii="Arial" w:hAnsi="Arial" w:cs="Arial"/>
          <w:sz w:val="24"/>
        </w:rPr>
      </w:pPr>
      <w:r>
        <w:rPr>
          <w:rFonts w:cs="Arial" w:ascii="Arial" w:hAnsi="Arial"/>
          <w:sz w:val="24"/>
        </w:rPr>
      </w:r>
    </w:p>
    <w:p>
      <w:pPr>
        <w:pStyle w:val="Normal"/>
        <w:numPr>
          <w:ilvl w:val="0"/>
          <w:numId w:val="2"/>
        </w:numPr>
        <w:spacing w:before="0" w:after="0"/>
        <w:rPr>
          <w:rFonts w:ascii="Arial" w:hAnsi="Arial" w:cs="Arial"/>
          <w:sz w:val="24"/>
        </w:rPr>
      </w:pPr>
      <w:r>
        <w:rPr>
          <w:rFonts w:cs="Arial" w:ascii="Arial" w:hAnsi="Arial"/>
          <w:sz w:val="24"/>
        </w:rPr>
        <w:t>Wade</w:t>
      </w:r>
    </w:p>
    <w:p>
      <w:pPr>
        <w:pStyle w:val="Normal"/>
        <w:numPr>
          <w:ilvl w:val="0"/>
          <w:numId w:val="2"/>
        </w:numPr>
        <w:spacing w:before="0" w:after="0"/>
        <w:rPr>
          <w:rFonts w:ascii="Arial" w:hAnsi="Arial" w:cs="Arial"/>
          <w:sz w:val="24"/>
        </w:rPr>
      </w:pPr>
      <w:r>
        <w:rPr>
          <w:rFonts w:cs="Arial" w:ascii="Arial" w:hAnsi="Arial"/>
          <w:sz w:val="24"/>
        </w:rPr>
        <w:t>DPC: Mohan Gurunath and Mukesh</w:t>
      </w:r>
    </w:p>
    <w:p>
      <w:pPr>
        <w:pStyle w:val="Normal"/>
        <w:numPr>
          <w:ilvl w:val="0"/>
          <w:numId w:val="2"/>
        </w:numPr>
        <w:spacing w:before="0" w:after="0"/>
        <w:rPr>
          <w:rFonts w:ascii="Arial" w:hAnsi="Arial" w:cs="Arial"/>
          <w:sz w:val="24"/>
        </w:rPr>
      </w:pPr>
      <w:r>
        <w:rPr>
          <w:rFonts w:cs="Arial" w:ascii="Arial" w:hAnsi="Arial"/>
          <w:sz w:val="24"/>
        </w:rPr>
        <w:t>Metgas: Kurt and Ujjwal</w:t>
      </w:r>
    </w:p>
    <w:p>
      <w:pPr>
        <w:pStyle w:val="Normal"/>
        <w:numPr>
          <w:ilvl w:val="0"/>
          <w:numId w:val="2"/>
        </w:numPr>
        <w:spacing w:before="0" w:after="0"/>
        <w:rPr>
          <w:rFonts w:ascii="Arial" w:hAnsi="Arial" w:cs="Arial"/>
          <w:sz w:val="24"/>
        </w:rPr>
      </w:pPr>
      <w:r>
        <w:rPr>
          <w:rFonts w:cs="Arial" w:ascii="Arial" w:hAnsi="Arial"/>
          <w:sz w:val="24"/>
        </w:rPr>
        <w:t>Broadband Services: Hemant, Atul, Annat and Al-Amyn</w:t>
      </w:r>
    </w:p>
    <w:p>
      <w:pPr>
        <w:pStyle w:val="Normal"/>
        <w:numPr>
          <w:ilvl w:val="0"/>
          <w:numId w:val="2"/>
        </w:numPr>
        <w:spacing w:before="0" w:after="0"/>
        <w:rPr>
          <w:rFonts w:ascii="Arial" w:hAnsi="Arial" w:cs="Arial"/>
          <w:sz w:val="24"/>
        </w:rPr>
      </w:pPr>
      <w:r>
        <w:rPr>
          <w:rFonts w:cs="Arial" w:ascii="Arial" w:hAnsi="Arial"/>
          <w:sz w:val="24"/>
        </w:rPr>
        <w:t>Trading: Sandeep Kohli</w:t>
      </w:r>
    </w:p>
    <w:p>
      <w:pPr>
        <w:pStyle w:val="Normal"/>
        <w:numPr>
          <w:ilvl w:val="0"/>
          <w:numId w:val="2"/>
        </w:numPr>
        <w:spacing w:before="0" w:after="0"/>
        <w:rPr>
          <w:rFonts w:ascii="Arial" w:hAnsi="Arial" w:cs="Arial"/>
          <w:sz w:val="24"/>
        </w:rPr>
      </w:pPr>
      <w:r>
        <w:rPr>
          <w:rFonts w:cs="Arial" w:ascii="Arial" w:hAnsi="Arial"/>
          <w:sz w:val="24"/>
        </w:rPr>
        <w:t>Regional Coordinators :</w:t>
      </w:r>
    </w:p>
    <w:p>
      <w:pPr>
        <w:pStyle w:val="Normal"/>
        <w:numPr>
          <w:ilvl w:val="0"/>
          <w:numId w:val="4"/>
        </w:numPr>
        <w:tabs>
          <w:tab w:val="clear" w:pos="720"/>
          <w:tab w:val="left" w:pos="1890" w:leader="none"/>
        </w:tabs>
        <w:spacing w:before="0" w:after="0"/>
        <w:ind w:hanging="450" w:start="1890" w:end="0"/>
        <w:rPr>
          <w:rFonts w:ascii="Arial" w:hAnsi="Arial" w:cs="Arial"/>
          <w:sz w:val="24"/>
        </w:rPr>
      </w:pPr>
      <w:r>
        <w:rPr>
          <w:rFonts w:cs="Arial" w:ascii="Arial" w:hAnsi="Arial"/>
          <w:sz w:val="24"/>
        </w:rPr>
        <w:t>Delhi - Ashok</w:t>
      </w:r>
    </w:p>
    <w:p>
      <w:pPr>
        <w:pStyle w:val="Normal"/>
        <w:numPr>
          <w:ilvl w:val="0"/>
          <w:numId w:val="4"/>
        </w:numPr>
        <w:tabs>
          <w:tab w:val="clear" w:pos="720"/>
          <w:tab w:val="left" w:pos="1890" w:leader="none"/>
        </w:tabs>
        <w:spacing w:before="0" w:after="0"/>
        <w:ind w:hanging="450" w:start="1890" w:end="0"/>
        <w:rPr>
          <w:rFonts w:ascii="Arial" w:hAnsi="Arial" w:cs="Arial"/>
          <w:sz w:val="24"/>
        </w:rPr>
      </w:pPr>
      <w:r>
        <w:rPr>
          <w:rFonts w:cs="Arial" w:ascii="Arial" w:hAnsi="Arial"/>
          <w:sz w:val="24"/>
        </w:rPr>
        <w:t>Gujarat – Virani</w:t>
      </w:r>
    </w:p>
    <w:p>
      <w:pPr>
        <w:pStyle w:val="Normal"/>
        <w:numPr>
          <w:ilvl w:val="0"/>
          <w:numId w:val="4"/>
        </w:numPr>
        <w:tabs>
          <w:tab w:val="clear" w:pos="720"/>
          <w:tab w:val="left" w:pos="1890" w:leader="none"/>
        </w:tabs>
        <w:spacing w:before="0" w:after="0"/>
        <w:ind w:hanging="450" w:start="1890" w:end="0"/>
        <w:rPr>
          <w:rFonts w:ascii="Arial" w:hAnsi="Arial" w:cs="Arial"/>
          <w:sz w:val="24"/>
        </w:rPr>
      </w:pPr>
      <w:r>
        <w:rPr>
          <w:rFonts w:cs="Arial" w:ascii="Arial" w:hAnsi="Arial"/>
          <w:sz w:val="24"/>
        </w:rPr>
        <w:t>Karnataka – Kumar</w:t>
      </w:r>
    </w:p>
    <w:p>
      <w:pPr>
        <w:pStyle w:val="Normal"/>
        <w:numPr>
          <w:ilvl w:val="0"/>
          <w:numId w:val="2"/>
        </w:numPr>
        <w:spacing w:before="0" w:after="0"/>
        <w:rPr>
          <w:rFonts w:ascii="Arial" w:hAnsi="Arial" w:cs="Arial"/>
          <w:sz w:val="24"/>
        </w:rPr>
      </w:pPr>
      <w:r>
        <w:rPr>
          <w:rFonts w:cs="Arial" w:ascii="Arial" w:hAnsi="Arial"/>
          <w:sz w:val="24"/>
        </w:rPr>
        <w:t>Accounting: Carol</w:t>
      </w:r>
    </w:p>
    <w:p>
      <w:pPr>
        <w:pStyle w:val="Normal"/>
        <w:numPr>
          <w:ilvl w:val="0"/>
          <w:numId w:val="2"/>
        </w:numPr>
        <w:spacing w:before="0" w:after="0"/>
        <w:rPr>
          <w:rFonts w:ascii="Arial" w:hAnsi="Arial" w:cs="Arial"/>
          <w:sz w:val="24"/>
        </w:rPr>
      </w:pPr>
      <w:r>
        <w:rPr>
          <w:rFonts w:cs="Arial" w:ascii="Arial" w:hAnsi="Arial"/>
          <w:sz w:val="24"/>
        </w:rPr>
        <w:t>Asset Operations: Chew</w:t>
      </w:r>
    </w:p>
    <w:p>
      <w:pPr>
        <w:pStyle w:val="Normal"/>
        <w:numPr>
          <w:ilvl w:val="0"/>
          <w:numId w:val="2"/>
        </w:numPr>
        <w:spacing w:before="0" w:after="0"/>
        <w:rPr>
          <w:rFonts w:ascii="Arial" w:hAnsi="Arial" w:cs="Arial"/>
          <w:sz w:val="24"/>
        </w:rPr>
      </w:pPr>
      <w:r>
        <w:rPr>
          <w:rFonts w:cs="Arial" w:ascii="Arial" w:hAnsi="Arial"/>
          <w:sz w:val="24"/>
        </w:rPr>
        <w:t>Corporate Communications: Jimmy</w:t>
      </w:r>
    </w:p>
    <w:p>
      <w:pPr>
        <w:pStyle w:val="Normal"/>
        <w:numPr>
          <w:ilvl w:val="0"/>
          <w:numId w:val="2"/>
        </w:numPr>
        <w:spacing w:before="0" w:after="0"/>
        <w:rPr>
          <w:rFonts w:ascii="Arial" w:hAnsi="Arial" w:cs="Arial"/>
          <w:sz w:val="24"/>
        </w:rPr>
      </w:pPr>
      <w:r>
        <w:rPr>
          <w:rFonts w:cs="Arial" w:ascii="Arial" w:hAnsi="Arial"/>
          <w:sz w:val="24"/>
        </w:rPr>
        <w:t>Development Engineering: Ken Bean</w:t>
      </w:r>
    </w:p>
    <w:p>
      <w:pPr>
        <w:pStyle w:val="Normal"/>
        <w:numPr>
          <w:ilvl w:val="0"/>
          <w:numId w:val="2"/>
        </w:numPr>
        <w:spacing w:before="0" w:after="0"/>
        <w:rPr>
          <w:rFonts w:ascii="Arial" w:hAnsi="Arial" w:cs="Arial"/>
          <w:sz w:val="24"/>
        </w:rPr>
      </w:pPr>
      <w:r>
        <w:rPr>
          <w:rFonts w:cs="Arial" w:ascii="Arial" w:hAnsi="Arial"/>
          <w:sz w:val="24"/>
        </w:rPr>
        <w:t>Finance/Structuring: Ananda</w:t>
      </w:r>
    </w:p>
    <w:p>
      <w:pPr>
        <w:pStyle w:val="Normal"/>
        <w:numPr>
          <w:ilvl w:val="0"/>
          <w:numId w:val="2"/>
        </w:numPr>
        <w:spacing w:before="0" w:after="0"/>
        <w:rPr>
          <w:rFonts w:ascii="Arial" w:hAnsi="Arial" w:cs="Arial"/>
          <w:sz w:val="24"/>
        </w:rPr>
      </w:pPr>
      <w:r>
        <w:rPr>
          <w:rFonts w:cs="Arial" w:ascii="Arial" w:hAnsi="Arial"/>
          <w:sz w:val="24"/>
        </w:rPr>
        <w:t>HR: Ranen</w:t>
      </w:r>
    </w:p>
    <w:p>
      <w:pPr>
        <w:pStyle w:val="Normal"/>
        <w:numPr>
          <w:ilvl w:val="0"/>
          <w:numId w:val="2"/>
        </w:numPr>
        <w:spacing w:before="0" w:after="0"/>
        <w:rPr>
          <w:rFonts w:ascii="Arial" w:hAnsi="Arial" w:cs="Arial"/>
          <w:sz w:val="24"/>
        </w:rPr>
      </w:pPr>
      <w:r>
        <w:rPr>
          <w:rFonts w:cs="Arial" w:ascii="Arial" w:hAnsi="Arial"/>
          <w:sz w:val="24"/>
        </w:rPr>
        <w:t xml:space="preserve">IT: Al-Amyn </w:t>
      </w:r>
    </w:p>
    <w:p>
      <w:pPr>
        <w:pStyle w:val="Normal"/>
        <w:numPr>
          <w:ilvl w:val="0"/>
          <w:numId w:val="2"/>
        </w:numPr>
        <w:spacing w:before="0" w:after="0"/>
        <w:rPr>
          <w:rFonts w:ascii="Arial" w:hAnsi="Arial" w:cs="Arial"/>
          <w:sz w:val="24"/>
        </w:rPr>
      </w:pPr>
      <w:r>
        <w:rPr>
          <w:rFonts w:cs="Arial" w:ascii="Arial" w:hAnsi="Arial"/>
          <w:sz w:val="24"/>
        </w:rPr>
        <w:t>Legal: Sandeep Katwala</w:t>
      </w:r>
    </w:p>
    <w:p>
      <w:pPr>
        <w:pStyle w:val="Normal"/>
        <w:numPr>
          <w:ilvl w:val="0"/>
          <w:numId w:val="2"/>
        </w:numPr>
        <w:spacing w:before="0" w:after="0"/>
        <w:rPr>
          <w:rFonts w:ascii="Arial" w:hAnsi="Arial" w:cs="Arial"/>
          <w:sz w:val="24"/>
        </w:rPr>
      </w:pPr>
      <w:r>
        <w:rPr>
          <w:rFonts w:cs="Arial" w:ascii="Arial" w:hAnsi="Arial"/>
          <w:sz w:val="24"/>
        </w:rPr>
        <w:t>Regulatory Affairs: Jane</w:t>
      </w:r>
    </w:p>
    <w:p>
      <w:pPr>
        <w:pStyle w:val="Normal"/>
        <w:numPr>
          <w:ilvl w:val="0"/>
          <w:numId w:val="2"/>
        </w:numPr>
        <w:spacing w:before="0" w:after="0"/>
        <w:rPr>
          <w:rFonts w:ascii="Arial" w:hAnsi="Arial" w:cs="Arial"/>
          <w:sz w:val="24"/>
        </w:rPr>
      </w:pPr>
      <w:r>
        <w:rPr>
          <w:rFonts w:cs="Arial" w:ascii="Arial" w:hAnsi="Arial"/>
          <w:sz w:val="24"/>
        </w:rPr>
        <w:t>Special Projects/Administration: Sreekumar</w:t>
      </w:r>
    </w:p>
    <w:p>
      <w:pPr>
        <w:pStyle w:val="Normal"/>
        <w:numPr>
          <w:ilvl w:val="0"/>
          <w:numId w:val="2"/>
        </w:numPr>
        <w:spacing w:before="0" w:after="0"/>
        <w:rPr>
          <w:rFonts w:ascii="Arial" w:hAnsi="Arial" w:cs="Arial"/>
          <w:sz w:val="24"/>
        </w:rPr>
      </w:pPr>
      <w:r>
        <w:rPr>
          <w:rFonts w:cs="Arial" w:ascii="Arial" w:hAnsi="Arial"/>
          <w:sz w:val="24"/>
        </w:rPr>
        <w:t>Tax: Mike</w:t>
      </w:r>
    </w:p>
    <w:p>
      <w:pPr>
        <w:pStyle w:val="Normal"/>
        <w:numPr>
          <w:ilvl w:val="0"/>
          <w:numId w:val="2"/>
        </w:numPr>
        <w:spacing w:before="0" w:after="0"/>
        <w:rPr>
          <w:rFonts w:ascii="Arial" w:hAnsi="Arial" w:cs="Arial"/>
          <w:sz w:val="24"/>
        </w:rPr>
      </w:pPr>
      <w:r>
        <w:rPr>
          <w:rFonts w:cs="Arial" w:ascii="Arial" w:hAnsi="Arial"/>
          <w:sz w:val="24"/>
        </w:rPr>
        <w:t>Treasury: Subu</w:t>
      </w:r>
    </w:p>
    <w:p>
      <w:pPr>
        <w:pStyle w:val="Normal"/>
        <w:spacing w:before="0" w:after="0"/>
        <w:ind w:start="720" w:end="0"/>
        <w:rPr>
          <w:rFonts w:ascii="Arial" w:hAnsi="Arial" w:eastAsia="Arial" w:cs="Arial"/>
          <w:sz w:val="24"/>
        </w:rPr>
      </w:pPr>
      <w:r>
        <w:rPr>
          <w:rFonts w:eastAsia="Arial" w:cs="Arial" w:ascii="Arial" w:hAnsi="Arial"/>
          <w:sz w:val="24"/>
        </w:rPr>
        <w:t xml:space="preserve"> </w:t>
      </w:r>
    </w:p>
    <w:p>
      <w:pPr>
        <w:pStyle w:val="Normal"/>
        <w:spacing w:before="0" w:after="0"/>
        <w:ind w:firstLine="720" w:end="0"/>
        <w:rPr>
          <w:rFonts w:ascii="Arial" w:hAnsi="Arial" w:cs="Arial"/>
          <w:sz w:val="24"/>
        </w:rPr>
      </w:pPr>
      <w:r>
        <w:rPr>
          <w:rFonts w:cs="Arial" w:ascii="Arial" w:hAnsi="Arial"/>
          <w:sz w:val="24"/>
        </w:rPr>
        <w:t xml:space="preserve">Please join us in congratulating these individuals on their new responsibilities and wishing them the best in these roles. </w:t>
      </w:r>
    </w:p>
    <w:p>
      <w:pPr>
        <w:sectPr>
          <w:headerReference w:type="default" r:id="rId4"/>
          <w:headerReference w:type="first" r:id="rId5"/>
          <w:footerReference w:type="default" r:id="rId6"/>
          <w:footerReference w:type="first" r:id="rId7"/>
          <w:type w:val="nextPage"/>
          <w:pgSz w:w="12240" w:h="15840"/>
          <w:pgMar w:left="1440" w:right="1440" w:gutter="0" w:header="720" w:top="1080" w:footer="720" w:bottom="776"/>
          <w:pgNumType w:fmt="decimal"/>
          <w:formProt w:val="false"/>
          <w:titlePg/>
          <w:textDirection w:val="lrTb"/>
          <w:docGrid w:type="default" w:linePitch="360" w:charSpace="0"/>
        </w:sectPr>
        <w:pStyle w:val="Normal"/>
        <w:spacing w:before="0" w:after="0"/>
        <w:rPr>
          <w:rFonts w:ascii="Arial" w:hAnsi="Arial" w:cs="Arial"/>
          <w:sz w:val="24"/>
        </w:rPr>
      </w:pPr>
      <w:r>
        <w:rPr>
          <w:rFonts w:cs="Arial" w:ascii="Arial" w:hAnsi="Arial"/>
          <w:sz w:val="24"/>
        </w:rPr>
      </w:r>
    </w:p>
    <w:p>
      <w:pPr>
        <w:pStyle w:val="Normal"/>
        <w:spacing w:before="60" w:after="60"/>
        <w:rPr>
          <w:rFonts w:ascii="Arial" w:hAnsi="Arial" w:cs="Arial"/>
          <w:sz w:val="24"/>
          <w:lang w:val="en-CA"/>
        </w:rPr>
      </w:pPr>
      <w:r>
        <w:rPr>
          <w:rFonts w:cs="Arial" w:ascii="Arial" w:hAnsi="Arial"/>
          <w:sz w:val="24"/>
          <w:lang w:val="en-CA"/>
        </w:rPr>
        <w:object w:dxaOrig="11580" w:dyaOrig="8169">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72pt;margin-top:-11.5pt;width:579pt;height:408.45pt;mso-wrap-distance-left:9.05pt;mso-wrap-distance-right:9.05pt;mso-position-horizontal-relative:text;mso-position-vertical-relative:text" filled="f" o:ole="">
            <v:imagedata r:id="rId9" o:title=""/>
            <w10:wrap type="topAndBottom"/>
          </v:shape>
          <o:OLEObject Type="Embed" ProgID="" ShapeID="ole_rId8" DrawAspect="Content" ObjectID="_152327060" r:id="rId8"/>
        </w:object>
      </w:r>
    </w:p>
    <w:sectPr>
      <w:headerReference w:type="default" r:id="rId10"/>
      <w:headerReference w:type="first" r:id="rId11"/>
      <w:footerReference w:type="default" r:id="rId12"/>
      <w:footerReference w:type="first" r:id="rId13"/>
      <w:type w:val="nextPage"/>
      <w:pgSz w:orient="landscape" w:w="15840" w:h="12240"/>
      <w:pgMar w:left="720" w:right="108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sz w:val="16"/>
      </w:rPr>
    </w:pPr>
    <w:r>
      <w:rPr>
        <w:sz w:val="16"/>
      </w:rPr>
      <w:t>Memo all EI employees Oct 2000 re organization</w:t>
    </w:r>
  </w:p>
  <w:p>
    <w:pPr>
      <w:pStyle w:val="Footer"/>
      <w:spacing w:before="60" w:after="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sz w:val="16"/>
      </w:rPr>
    </w:pPr>
    <w:r>
      <w:rPr>
        <w:sz w:val="16"/>
      </w:rPr>
      <w:t>Memo all EI employees Nov. 2000 re reorganization</w:t>
    </w:r>
  </w:p>
  <w:p>
    <w:pPr>
      <w:pStyle w:val="Footer"/>
      <w:spacing w:before="60" w:after="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sz w:val="16"/>
      </w:rPr>
    </w:pPr>
    <w:r>
      <w:rPr>
        <w:sz w:val="16"/>
      </w:rPr>
      <w:t>Memo all EI employees Oct 2000 re organization</w:t>
    </w:r>
  </w:p>
  <w:p>
    <w:pPr>
      <w:pStyle w:val="Footer"/>
      <w:spacing w:before="60" w:after="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sz w:val="16"/>
      </w:rPr>
    </w:pPr>
    <w:r>
      <w:rPr>
        <w:sz w:val="16"/>
      </w:rPr>
      <w:t>Memo all EI employees Nov. 2000 re reorganization</w:t>
    </w:r>
  </w:p>
  <w:p>
    <w:pPr>
      <w:pStyle w:val="Footer"/>
      <w:spacing w:before="60" w:after="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numPr>
        <w:ilvl w:val="0"/>
        <w:numId w:val="1"/>
      </w:numPr>
      <w:spacing w:before="180" w:after="0"/>
      <w:outlineLvl w:val="0"/>
    </w:pPr>
    <w:rPr>
      <w:b/>
      <w:sz w:val="24"/>
    </w:rPr>
  </w:style>
  <w:style w:type="paragraph" w:styleId="Heading2">
    <w:name w:val="heading 2"/>
    <w:basedOn w:val="Heading1"/>
    <w:next w:val="Normal"/>
    <w:qFormat/>
    <w:pPr>
      <w:numPr>
        <w:ilvl w:val="1"/>
        <w:numId w:val="1"/>
      </w:numPr>
      <w:spacing w:before="120" w:after="0"/>
      <w:outlineLvl w:val="1"/>
    </w:pPr>
    <w:rPr>
      <w:sz w:val="22"/>
    </w:rPr>
  </w:style>
  <w:style w:type="paragraph" w:styleId="Heading3">
    <w:name w:val="heading 3"/>
    <w:basedOn w:val="Heading2"/>
    <w:next w:val="Normal"/>
    <w:qFormat/>
    <w:pPr>
      <w:numPr>
        <w:ilvl w:val="2"/>
        <w:numId w:val="1"/>
      </w:numPr>
      <w:outlineLvl w:val="2"/>
    </w:pPr>
    <w:rPr>
      <w:sz w:val="20"/>
    </w:rPr>
  </w:style>
  <w:style w:type="paragraph" w:styleId="Heading4">
    <w:name w:val="heading 4"/>
    <w:basedOn w:val="Normal"/>
    <w:next w:val="Normal"/>
    <w:qFormat/>
    <w:pPr>
      <w:keepNext w:val="true"/>
      <w:numPr>
        <w:ilvl w:val="3"/>
        <w:numId w:val="1"/>
      </w:numPr>
      <w:outlineLvl w:val="3"/>
    </w:pPr>
    <w:rPr>
      <w:b/>
      <w:sz w:val="24"/>
      <w:u w:val="single"/>
    </w:rPr>
  </w:style>
  <w:style w:type="paragraph" w:styleId="Heading5">
    <w:name w:val="heading 5"/>
    <w:basedOn w:val="Normal"/>
    <w:next w:val="Normal"/>
    <w:qFormat/>
    <w:pPr>
      <w:keepNext w:val="true"/>
      <w:numPr>
        <w:ilvl w:val="4"/>
        <w:numId w:val="1"/>
      </w:numPr>
      <w:outlineLvl w:val="4"/>
    </w:pPr>
    <w:rPr>
      <w:rFonts w:ascii="Arial" w:hAnsi="Arial" w:cs="Arial"/>
      <w:sz w:val="24"/>
      <w:u w:val="single"/>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rPr>
      <w:sz w:val="24"/>
    </w:rPr>
  </w:style>
  <w:style w:type="paragraph" w:styleId="List">
    <w:name w:val="List"/>
    <w:basedOn w:val="Normal"/>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720"/>
        <w:tab w:val="left" w:pos="504" w:leader="none"/>
      </w:tabs>
      <w:spacing w:before="360" w:after="0"/>
      <w:ind w:hanging="504" w:start="504" w:end="0"/>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0"/>
      <w:ind w:firstLine="360" w:start="0" w:end="0"/>
    </w:pPr>
    <w:rPr>
      <w:rFonts w:ascii="Arial" w:hAnsi="Arial" w:cs="Arial"/>
      <w:sz w:val="24"/>
    </w:rPr>
  </w:style>
  <w:style w:type="paragraph" w:styleId="BodyTextIndent2">
    <w:name w:val="Body Text Indent 2"/>
    <w:basedOn w:val="Normal"/>
    <w:qFormat/>
    <w:pPr>
      <w:spacing w:before="0" w:after="0"/>
      <w:ind w:firstLine="720" w:start="0" w:end="0"/>
    </w:pPr>
    <w:rPr>
      <w:rFonts w:ascii="Arial" w:hAnsi="Arial" w:cs="Arial"/>
      <w:sz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oleObject" Target="embeddings/oleObject1.bin"/><Relationship Id="rId9" Type="http://schemas.openxmlformats.org/officeDocument/2006/relationships/image" Target="media/image2.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2000-11-02T02:49:00Z</dcterms:created>
  <dc:creator>EW/LN/CB</dc:creator>
  <dc:description/>
  <cp:keywords>calvert</cp:keywords>
  <dc:language>en-CA</dc:language>
  <cp:lastModifiedBy>EI-MUM-FD14</cp:lastModifiedBy>
  <cp:lastPrinted>2000-11-02T13:06:00Z</cp:lastPrinted>
  <dcterms:modified xsi:type="dcterms:W3CDTF">2000-11-02T05:18:00Z</dcterms:modified>
  <cp:revision>12</cp:revision>
  <dc:subject/>
  <dc:title>calvert Frome</dc:title>
</cp:coreProperties>
</file>