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2"/>
        </w:rPr>
      </w:pPr>
      <w:r>
        <w:rPr>
          <w:b/>
          <w:sz w:val="22"/>
          <w:u w:val="single"/>
        </w:rPr>
        <w:t>FIRST AMENDMENT TO ISDA MASTER AGREEMENT</w:t>
      </w:r>
    </w:p>
    <w:p>
      <w:pPr>
        <w:pStyle w:val="Normal"/>
        <w:rPr>
          <w:b/>
          <w:sz w:val="22"/>
        </w:rPr>
      </w:pPr>
      <w:r>
        <w:rPr>
          <w:b/>
          <w:sz w:val="22"/>
        </w:rPr>
      </w:r>
    </w:p>
    <w:p>
      <w:pPr>
        <w:pStyle w:val="Normal"/>
        <w:rPr>
          <w:sz w:val="22"/>
        </w:rPr>
      </w:pPr>
      <w:r>
        <w:rPr>
          <w:sz w:val="22"/>
        </w:rPr>
      </w:r>
    </w:p>
    <w:p>
      <w:pPr>
        <w:pStyle w:val="Normal"/>
        <w:jc w:val="both"/>
        <w:rPr/>
      </w:pPr>
      <w:r>
        <w:rPr>
          <w:sz w:val="22"/>
        </w:rPr>
        <w:tab/>
        <w:t xml:space="preserve">This First Amendment to ISDA Master Agreement dated as of July 11, 1994  (the “Amendment”), is made and entered into by and between </w:t>
      </w:r>
      <w:r>
        <w:rPr>
          <w:b/>
          <w:bCs/>
          <w:sz w:val="22"/>
        </w:rPr>
        <w:t>Glencore Ltd.</w:t>
      </w:r>
      <w:r>
        <w:rPr>
          <w:sz w:val="22"/>
        </w:rPr>
        <w:t xml:space="preserve"> (“Counterparty”), </w:t>
      </w:r>
      <w:r>
        <w:rPr>
          <w:b/>
          <w:bCs/>
          <w:sz w:val="22"/>
        </w:rPr>
        <w:t>Glencore AG</w:t>
      </w:r>
      <w:r>
        <w:rPr>
          <w:sz w:val="22"/>
        </w:rPr>
        <w:t xml:space="preserve"> and </w:t>
      </w:r>
      <w:r>
        <w:rPr>
          <w:b/>
          <w:bCs/>
          <w:sz w:val="22"/>
        </w:rPr>
        <w:t>Enron North America Corp.</w:t>
      </w:r>
      <w:r>
        <w:rPr>
          <w:sz w:val="22"/>
        </w:rPr>
        <w:t xml:space="preserve"> (formerly known as Enron Capital &amp; Trade Resources Corp.) (“ENA”).</w:t>
      </w:r>
    </w:p>
    <w:p>
      <w:pPr>
        <w:pStyle w:val="Normal"/>
        <w:jc w:val="both"/>
        <w:rPr>
          <w:sz w:val="22"/>
        </w:rPr>
      </w:pPr>
      <w:r>
        <w:rPr>
          <w:sz w:val="22"/>
        </w:rPr>
      </w:r>
    </w:p>
    <w:p>
      <w:pPr>
        <w:pStyle w:val="Normal"/>
        <w:jc w:val="both"/>
        <w:rPr/>
      </w:pPr>
      <w:r>
        <w:rPr>
          <w:sz w:val="22"/>
        </w:rPr>
        <w:tab/>
        <w:t xml:space="preserve">WHEREAS, Counterparty and ENA entered into that certain </w:t>
      </w:r>
      <w:r>
        <w:rPr/>
        <w:t>ISDA Master</w:t>
      </w:r>
      <w:r>
        <w:rPr>
          <w:sz w:val="22"/>
        </w:rPr>
        <w:t xml:space="preserve"> Agreement dated as of July 11, 1994 (the “Master Agreement”);</w:t>
      </w:r>
    </w:p>
    <w:p>
      <w:pPr>
        <w:pStyle w:val="Normal"/>
        <w:jc w:val="both"/>
        <w:rPr>
          <w:sz w:val="22"/>
        </w:rPr>
      </w:pPr>
      <w:r>
        <w:rPr>
          <w:sz w:val="22"/>
        </w:rPr>
      </w:r>
    </w:p>
    <w:p>
      <w:pPr>
        <w:pStyle w:val="Normal"/>
        <w:jc w:val="both"/>
        <w:rPr>
          <w:sz w:val="22"/>
        </w:rPr>
      </w:pPr>
      <w:r>
        <w:rPr>
          <w:sz w:val="22"/>
        </w:rPr>
        <w:tab/>
        <w:t>WHEREAS, the parties hereto desire to amend the Master Agreement as provided herein;</w:t>
      </w:r>
    </w:p>
    <w:p>
      <w:pPr>
        <w:pStyle w:val="Normal"/>
        <w:jc w:val="both"/>
        <w:rPr>
          <w:sz w:val="22"/>
        </w:rPr>
      </w:pPr>
      <w:r>
        <w:rPr>
          <w:sz w:val="22"/>
        </w:rPr>
      </w:r>
    </w:p>
    <w:p>
      <w:pPr>
        <w:pStyle w:val="Normal"/>
        <w:jc w:val="both"/>
        <w:rPr>
          <w:sz w:val="22"/>
        </w:rPr>
      </w:pPr>
      <w:r>
        <w:rPr>
          <w:sz w:val="22"/>
        </w:rPr>
        <w:tab/>
        <w:t>NOW THEREFORE, for and in consideration of the agreements herein made and other good and valuable consideration, the parties hereto agree as follows:</w:t>
      </w:r>
    </w:p>
    <w:p>
      <w:pPr>
        <w:pStyle w:val="Normal"/>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  </w:t>
      </w:r>
      <w:r>
        <w:rPr>
          <w:b/>
          <w:sz w:val="22"/>
          <w:u w:val="single"/>
        </w:rPr>
        <w:t>AMENDMENTS</w:t>
      </w:r>
    </w:p>
    <w:p>
      <w:pPr>
        <w:pStyle w:val="Normal"/>
        <w:jc w:val="both"/>
        <w:rPr>
          <w:sz w:val="22"/>
        </w:rPr>
      </w:pPr>
      <w:r>
        <w:rPr>
          <w:sz w:val="22"/>
        </w:rPr>
      </w:r>
    </w:p>
    <w:p>
      <w:pPr>
        <w:pStyle w:val="Normal"/>
        <w:jc w:val="both"/>
        <w:rPr>
          <w:sz w:val="22"/>
        </w:rPr>
      </w:pPr>
      <w:r>
        <w:rPr>
          <w:sz w:val="22"/>
        </w:rPr>
        <w:t>The Master Agreement is hereby amended as follows:</w:t>
      </w:r>
    </w:p>
    <w:p>
      <w:pPr>
        <w:pStyle w:val="Normal"/>
        <w:jc w:val="both"/>
        <w:rPr>
          <w:sz w:val="22"/>
        </w:rPr>
      </w:pPr>
      <w:r>
        <w:rPr>
          <w:sz w:val="22"/>
        </w:rPr>
        <w:tab/>
      </w:r>
    </w:p>
    <w:p>
      <w:pPr>
        <w:pStyle w:val="BodyTextIndent"/>
        <w:rPr/>
      </w:pPr>
      <w:r>
        <w:rPr/>
        <w:t>1.</w:t>
        <w:tab/>
        <w:t>By deleting the name “GLENCORE LTD.” in the fist line of the Master Agreement and replacing it with the name “GLENCORE AG”;</w:t>
      </w:r>
    </w:p>
    <w:p>
      <w:pPr>
        <w:pStyle w:val="BodyTextIndent"/>
        <w:rPr/>
      </w:pPr>
      <w:r>
        <w:rPr/>
      </w:r>
    </w:p>
    <w:p>
      <w:pPr>
        <w:pStyle w:val="BodyTextIndent"/>
        <w:rPr/>
      </w:pPr>
      <w:r>
        <w:rPr/>
        <w:t>2.</w:t>
        <w:tab/>
        <w:t>By deleting the name “GLENCORE LTD.” on the first page of the Schedule to the Master Agreement and replacing it with the name “GLENCORE AG”.</w:t>
      </w:r>
    </w:p>
    <w:p>
      <w:pPr>
        <w:pStyle w:val="Normal"/>
        <w:jc w:val="both"/>
        <w:rPr>
          <w:sz w:val="22"/>
        </w:rPr>
      </w:pPr>
      <w:r>
        <w:rPr>
          <w:sz w:val="22"/>
        </w:rPr>
      </w:r>
    </w:p>
    <w:p>
      <w:pPr>
        <w:pStyle w:val="Normal"/>
        <w:jc w:val="both"/>
        <w:rPr>
          <w:sz w:val="22"/>
        </w:rPr>
      </w:pPr>
      <w:r>
        <w:rPr>
          <w:sz w:val="22"/>
        </w:rPr>
        <w:t>3.</w:t>
        <w:tab/>
        <w:t>By amending Part 4(c)(ii) of the Schedule to the Master Agreement in its entirety to read:</w:t>
      </w:r>
    </w:p>
    <w:p>
      <w:pPr>
        <w:pStyle w:val="Normal"/>
        <w:ind w:firstLine="720" w:end="0"/>
        <w:jc w:val="both"/>
        <w:rPr>
          <w:sz w:val="22"/>
        </w:rPr>
      </w:pPr>
      <w:r>
        <w:rPr>
          <w:sz w:val="22"/>
        </w:rPr>
      </w:r>
    </w:p>
    <w:p>
      <w:pPr>
        <w:pStyle w:val="Normal"/>
        <w:ind w:firstLine="720" w:end="0"/>
        <w:jc w:val="both"/>
        <w:rPr>
          <w:sz w:val="22"/>
        </w:rPr>
      </w:pPr>
      <w:r>
        <w:rPr>
          <w:sz w:val="22"/>
        </w:rPr>
        <w:t>“</w:t>
      </w:r>
      <w:r>
        <w:rPr>
          <w:sz w:val="22"/>
        </w:rPr>
        <w:t>(ii)</w:t>
        <w:tab/>
        <w:t>For the purpose of Section 10(c):</w:t>
      </w:r>
    </w:p>
    <w:p>
      <w:pPr>
        <w:pStyle w:val="Normal"/>
        <w:ind w:firstLine="720" w:end="0"/>
        <w:jc w:val="both"/>
        <w:rPr>
          <w:sz w:val="22"/>
        </w:rPr>
      </w:pPr>
      <w:r>
        <w:rPr>
          <w:sz w:val="22"/>
        </w:rPr>
      </w:r>
    </w:p>
    <w:p>
      <w:pPr>
        <w:pStyle w:val="Normal"/>
        <w:ind w:firstLine="720" w:start="720" w:end="0"/>
        <w:jc w:val="both"/>
        <w:rPr>
          <w:sz w:val="22"/>
        </w:rPr>
      </w:pPr>
      <w:r>
        <w:rPr>
          <w:sz w:val="22"/>
        </w:rPr>
        <w:t>Party A is not a Multibranch Party.</w:t>
      </w:r>
    </w:p>
    <w:p>
      <w:pPr>
        <w:pStyle w:val="Normal"/>
        <w:ind w:firstLine="720" w:start="720" w:end="0"/>
        <w:jc w:val="both"/>
        <w:rPr>
          <w:sz w:val="22"/>
        </w:rPr>
      </w:pPr>
      <w:r>
        <w:rPr>
          <w:sz w:val="22"/>
        </w:rPr>
      </w:r>
    </w:p>
    <w:p>
      <w:pPr>
        <w:pStyle w:val="Normal"/>
        <w:ind w:firstLine="720" w:start="720" w:end="0"/>
        <w:jc w:val="both"/>
        <w:rPr>
          <w:sz w:val="22"/>
        </w:rPr>
      </w:pPr>
      <w:r>
        <w:rPr>
          <w:sz w:val="22"/>
        </w:rPr>
        <w:t>Party B is a Multibranch Party and, for the purposes of this Master Agreement  and each Transaction entered into pursuant hereto, may act through: (x) its head office located in Baar, Switzerland; (y) and its branch office, known as Glencore Ltd., in Stamford, Connecticut, U.S.A.”</w:t>
      </w:r>
    </w:p>
    <w:p>
      <w:pPr>
        <w:pStyle w:val="Normal"/>
        <w:jc w:val="both"/>
        <w:rPr>
          <w:sz w:val="22"/>
        </w:rPr>
      </w:pPr>
      <w:r>
        <w:rPr>
          <w:sz w:val="22"/>
        </w:rPr>
      </w:r>
    </w:p>
    <w:p>
      <w:pPr>
        <w:pStyle w:val="BodyTextIndent"/>
        <w:rPr/>
      </w:pPr>
      <w:r>
        <w:rPr/>
        <w:t>4.</w:t>
        <w:tab/>
        <w:t>By amending the address for notices or communications to Party B in Part 4(a) of the Schedule to the Master  Agreement to read:</w:t>
      </w:r>
    </w:p>
    <w:p>
      <w:pPr>
        <w:pStyle w:val="BodyTextIndent"/>
        <w:rPr/>
      </w:pPr>
      <w:r>
        <w:rPr/>
      </w:r>
    </w:p>
    <w:p>
      <w:pPr>
        <w:pStyle w:val="BodyTextIndent"/>
        <w:ind w:start="1440" w:end="0"/>
        <w:rPr/>
      </w:pPr>
      <w:r>
        <w:rPr/>
        <w:t>“</w:t>
      </w:r>
      <w:r>
        <w:rPr/>
        <w:t>Address:</w:t>
        <w:tab/>
        <w:tab/>
        <w:t>Glencore AG</w:t>
      </w:r>
    </w:p>
    <w:p>
      <w:pPr>
        <w:pStyle w:val="BodyTextIndent"/>
        <w:ind w:start="1440" w:end="0"/>
        <w:rPr/>
      </w:pPr>
      <w:r>
        <w:rPr/>
        <w:tab/>
        <w:tab/>
        <w:tab/>
        <w:t>Baarermattstrasse 3</w:t>
      </w:r>
    </w:p>
    <w:p>
      <w:pPr>
        <w:pStyle w:val="BodyTextIndent"/>
        <w:ind w:start="1440" w:end="0"/>
        <w:rPr/>
      </w:pPr>
      <w:r>
        <w:rPr/>
        <w:tab/>
        <w:tab/>
        <w:tab/>
        <w:t>PO Box 666</w:t>
      </w:r>
    </w:p>
    <w:p>
      <w:pPr>
        <w:pStyle w:val="BodyTextIndent"/>
        <w:ind w:start="1440" w:end="0"/>
        <w:rPr/>
      </w:pPr>
      <w:r>
        <w:rPr/>
        <w:tab/>
        <w:tab/>
        <w:tab/>
        <w:t>CH-6341 Baar</w:t>
      </w:r>
    </w:p>
    <w:p>
      <w:pPr>
        <w:pStyle w:val="BodyTextIndent"/>
        <w:ind w:start="1440" w:end="0"/>
        <w:rPr/>
      </w:pPr>
      <w:r>
        <w:rPr/>
        <w:tab/>
        <w:tab/>
        <w:tab/>
        <w:t>Switzerland</w:t>
      </w:r>
    </w:p>
    <w:p>
      <w:pPr>
        <w:pStyle w:val="BodyTextIndent"/>
        <w:ind w:start="1440" w:end="0"/>
        <w:rPr/>
      </w:pPr>
      <w:r>
        <w:rPr/>
        <w:tab/>
        <w:tab/>
        <w:tab/>
        <w:t>Attention Legal Department</w:t>
      </w:r>
    </w:p>
    <w:p>
      <w:pPr>
        <w:pStyle w:val="BodyTextIndent"/>
        <w:ind w:start="1440" w:end="0"/>
        <w:rPr/>
      </w:pPr>
      <w:r>
        <w:rPr/>
        <w:tab/>
        <w:tab/>
        <w:tab/>
        <w:t>Fax 41 41 709 3000</w:t>
      </w:r>
    </w:p>
    <w:p>
      <w:pPr>
        <w:pStyle w:val="BodyTextIndent"/>
        <w:ind w:start="1440" w:end="0"/>
        <w:rPr/>
      </w:pPr>
      <w:r>
        <w:rPr/>
        <w:tab/>
        <w:tab/>
        <w:tab/>
        <w:t>and</w:t>
      </w:r>
    </w:p>
    <w:p>
      <w:pPr>
        <w:pStyle w:val="BodyTextIndent"/>
        <w:ind w:start="1440" w:end="0"/>
        <w:rPr/>
      </w:pPr>
      <w:r>
        <w:rPr/>
        <w:tab/>
        <w:tab/>
        <w:tab/>
        <w:t>Glencore Ltd.</w:t>
      </w:r>
    </w:p>
    <w:p>
      <w:pPr>
        <w:pStyle w:val="BodyTextIndent"/>
        <w:ind w:start="1440" w:end="0"/>
        <w:rPr/>
      </w:pPr>
      <w:r>
        <w:rPr/>
        <w:tab/>
        <w:tab/>
        <w:tab/>
        <w:t>3, Stamford Plaza</w:t>
      </w:r>
    </w:p>
    <w:p>
      <w:pPr>
        <w:pStyle w:val="BodyTextIndent"/>
        <w:ind w:start="1440" w:end="0"/>
        <w:rPr/>
      </w:pPr>
      <w:r>
        <w:rPr/>
        <w:tab/>
        <w:tab/>
        <w:tab/>
        <w:t>301 Tresser Boulevard</w:t>
      </w:r>
    </w:p>
    <w:p>
      <w:pPr>
        <w:pStyle w:val="BodyTextIndent"/>
        <w:ind w:start="1440" w:end="0"/>
        <w:rPr/>
      </w:pPr>
      <w:r>
        <w:rPr/>
        <w:tab/>
        <w:tab/>
        <w:tab/>
        <w:t>Stamford, Connecticut 06901-3244”</w:t>
      </w:r>
    </w:p>
    <w:p>
      <w:pPr>
        <w:pStyle w:val="BodyTextIndent"/>
        <w:ind w:start="1440" w:end="0"/>
        <w:rPr/>
      </w:pPr>
      <w:r>
        <w:rPr/>
        <w:tab/>
        <w:tab/>
        <w:tab/>
        <w:t>Attention Oil Department</w:t>
      </w:r>
    </w:p>
    <w:p>
      <w:pPr>
        <w:pStyle w:val="BodyTextIndent"/>
        <w:ind w:start="1440" w:end="0"/>
        <w:rPr/>
      </w:pPr>
      <w:r>
        <w:rPr/>
        <w:tab/>
        <w:tab/>
        <w:tab/>
        <w:t>Fax 203 978 2650</w:t>
      </w:r>
    </w:p>
    <w:p>
      <w:pPr>
        <w:pStyle w:val="BodyTextIndent"/>
        <w:ind w:start="1440" w:end="0"/>
        <w:rPr/>
      </w:pPr>
      <w:r>
        <w:rPr/>
      </w:r>
    </w:p>
    <w:p>
      <w:pPr>
        <w:pStyle w:val="Normal"/>
        <w:autoSpaceDE w:val="false"/>
        <w:spacing w:lineRule="atLeast" w:line="240"/>
        <w:rPr>
          <w:color w:val="000000"/>
          <w:sz w:val="22"/>
          <w:szCs w:val="24"/>
        </w:rPr>
      </w:pPr>
      <w:r>
        <w:rPr>
          <w:color w:val="000000"/>
          <w:sz w:val="22"/>
          <w:szCs w:val="24"/>
        </w:rPr>
      </w:r>
    </w:p>
    <w:p>
      <w:pPr>
        <w:pStyle w:val="Normal"/>
        <w:autoSpaceDE w:val="false"/>
        <w:spacing w:lineRule="atLeast" w:line="240"/>
        <w:rPr>
          <w:color w:val="000000"/>
          <w:sz w:val="22"/>
          <w:szCs w:val="24"/>
        </w:rPr>
      </w:pPr>
      <w:r>
        <w:rPr>
          <w:color w:val="000000"/>
          <w:sz w:val="22"/>
          <w:szCs w:val="24"/>
        </w:rPr>
      </w:r>
    </w:p>
    <w:p>
      <w:pPr>
        <w:pStyle w:val="Normal"/>
        <w:autoSpaceDE w:val="false"/>
        <w:spacing w:lineRule="atLeast" w:line="240"/>
        <w:rPr>
          <w:color w:val="000000"/>
          <w:sz w:val="22"/>
          <w:szCs w:val="24"/>
        </w:rPr>
      </w:pPr>
      <w:r>
        <w:rPr>
          <w:color w:val="000000"/>
          <w:sz w:val="22"/>
          <w:szCs w:val="24"/>
        </w:rPr>
      </w:r>
    </w:p>
    <w:p>
      <w:pPr>
        <w:pStyle w:val="Normal"/>
        <w:autoSpaceDE w:val="false"/>
        <w:spacing w:lineRule="atLeast" w:line="240"/>
        <w:rPr>
          <w:color w:val="000000"/>
          <w:sz w:val="22"/>
          <w:szCs w:val="24"/>
        </w:rPr>
      </w:pPr>
      <w:r>
        <w:rPr>
          <w:color w:val="000000"/>
          <w:sz w:val="22"/>
          <w:szCs w:val="24"/>
        </w:rPr>
        <w:t>5.  By amending Part 5 section (h) Accounts of the Schedule to the Master Agreement for Party B to read:</w:t>
      </w:r>
    </w:p>
    <w:p>
      <w:pPr>
        <w:pStyle w:val="Normal"/>
        <w:keepLines/>
        <w:autoSpaceDE w:val="false"/>
        <w:spacing w:lineRule="atLeast" w:line="240"/>
        <w:rPr>
          <w:color w:val="000000"/>
          <w:sz w:val="22"/>
          <w:szCs w:val="24"/>
        </w:rPr>
      </w:pPr>
      <w:r>
        <w:rPr>
          <w:color w:val="000000"/>
          <w:sz w:val="22"/>
          <w:szCs w:val="24"/>
        </w:rPr>
      </w:r>
    </w:p>
    <w:p>
      <w:pPr>
        <w:pStyle w:val="Normal"/>
        <w:keepLines/>
        <w:autoSpaceDE w:val="false"/>
        <w:spacing w:lineRule="atLeast" w:line="240"/>
        <w:rPr>
          <w:color w:val="000000"/>
          <w:sz w:val="22"/>
          <w:szCs w:val="24"/>
        </w:rPr>
      </w:pPr>
      <w:r>
        <w:rPr>
          <w:color w:val="000000"/>
          <w:sz w:val="22"/>
          <w:szCs w:val="24"/>
        </w:rPr>
        <w:t xml:space="preserve">Pay:                  The Chase Manhattan Bank </w:t>
        <w:tab/>
        <w:t xml:space="preserve">Bank of New York New York </w:t>
      </w:r>
    </w:p>
    <w:p>
      <w:pPr>
        <w:pStyle w:val="Normal"/>
        <w:keepLines/>
        <w:autoSpaceDE w:val="false"/>
        <w:spacing w:lineRule="atLeast" w:line="240"/>
        <w:ind w:firstLine="720" w:start="720" w:end="0"/>
        <w:rPr>
          <w:color w:val="000000"/>
          <w:sz w:val="22"/>
          <w:szCs w:val="24"/>
        </w:rPr>
      </w:pPr>
      <w:r>
        <w:rPr>
          <w:color w:val="000000"/>
          <w:sz w:val="22"/>
          <w:szCs w:val="24"/>
        </w:rPr>
        <w:t xml:space="preserve">New York  </w:t>
        <w:tab/>
        <w:tab/>
        <w:tab/>
        <w:t xml:space="preserve">For further credit to Credit Suisse First Boston Zurich </w:t>
      </w:r>
    </w:p>
    <w:p>
      <w:pPr>
        <w:pStyle w:val="Normal"/>
        <w:keepLines/>
        <w:autoSpaceDE w:val="false"/>
        <w:spacing w:lineRule="atLeast" w:line="240"/>
        <w:rPr>
          <w:color w:val="000000"/>
          <w:sz w:val="22"/>
          <w:szCs w:val="24"/>
        </w:rPr>
      </w:pPr>
      <w:r>
        <w:rPr>
          <w:color w:val="000000"/>
          <w:sz w:val="22"/>
          <w:szCs w:val="24"/>
        </w:rPr>
        <w:t xml:space="preserve">For A/C of :  </w:t>
        <w:tab/>
        <w:t xml:space="preserve">Glencore Ltd                         </w:t>
        <w:tab/>
        <w:t>Glencore AG</w:t>
      </w:r>
    </w:p>
    <w:p>
      <w:pPr>
        <w:pStyle w:val="Normal"/>
        <w:keepLines/>
        <w:autoSpaceDE w:val="false"/>
        <w:spacing w:lineRule="atLeast" w:line="240"/>
        <w:rPr>
          <w:color w:val="000000"/>
          <w:sz w:val="22"/>
          <w:szCs w:val="24"/>
        </w:rPr>
      </w:pPr>
      <w:r>
        <w:rPr>
          <w:color w:val="000000"/>
          <w:sz w:val="22"/>
          <w:szCs w:val="24"/>
        </w:rPr>
      </w:r>
    </w:p>
    <w:p>
      <w:pPr>
        <w:pStyle w:val="Normal"/>
        <w:keepLines/>
        <w:autoSpaceDE w:val="false"/>
        <w:spacing w:lineRule="atLeast" w:line="240"/>
        <w:rPr>
          <w:color w:val="000000"/>
          <w:sz w:val="22"/>
          <w:szCs w:val="24"/>
        </w:rPr>
      </w:pPr>
      <w:r>
        <w:rPr>
          <w:color w:val="000000"/>
          <w:sz w:val="22"/>
          <w:szCs w:val="24"/>
        </w:rPr>
        <w:t>Account:</w:t>
        <w:tab/>
        <w:t xml:space="preserve">949-2-400198                </w:t>
        <w:tab/>
        <w:tab/>
        <w:t>0835-518633-02-00</w:t>
      </w:r>
    </w:p>
    <w:p>
      <w:pPr>
        <w:pStyle w:val="Normal"/>
        <w:keepLines/>
        <w:autoSpaceDE w:val="false"/>
        <w:spacing w:lineRule="atLeast" w:line="240"/>
        <w:rPr>
          <w:color w:val="000000"/>
          <w:sz w:val="22"/>
          <w:szCs w:val="24"/>
        </w:rPr>
      </w:pPr>
      <w:r>
        <w:rPr>
          <w:color w:val="000000"/>
          <w:sz w:val="22"/>
          <w:szCs w:val="24"/>
        </w:rPr>
      </w:r>
    </w:p>
    <w:p>
      <w:pPr>
        <w:pStyle w:val="BodyTextIndent"/>
        <w:ind w:start="1440" w:end="0"/>
        <w:rPr>
          <w:color w:val="000000"/>
          <w:sz w:val="22"/>
          <w:szCs w:val="24"/>
        </w:rPr>
      </w:pPr>
      <w:r>
        <w:rPr>
          <w:color w:val="000000"/>
          <w:sz w:val="22"/>
          <w:szCs w:val="24"/>
        </w:rPr>
      </w:r>
    </w:p>
    <w:p>
      <w:pPr>
        <w:pStyle w:val="BodyTextIndent"/>
        <w:rPr/>
      </w:pPr>
      <w:r>
        <w:rPr/>
        <w:t>6.</w:t>
        <w:tab/>
        <w:t>Except as amended hereby, all other terms and conditions of the Master Agreement shall reamin the same and in full force and effect.</w:t>
      </w:r>
    </w:p>
    <w:p>
      <w:pPr>
        <w:pStyle w:val="Normal"/>
        <w:ind w:hanging="720" w:start="720" w:end="0"/>
        <w:jc w:val="both"/>
        <w:rPr>
          <w:sz w:val="22"/>
        </w:rPr>
      </w:pPr>
      <w:r>
        <w:rPr>
          <w:sz w:val="22"/>
        </w:rPr>
      </w:r>
    </w:p>
    <w:p>
      <w:pPr>
        <w:pStyle w:val="Normal"/>
        <w:jc w:val="both"/>
        <w:rPr>
          <w:sz w:val="22"/>
        </w:rPr>
      </w:pPr>
      <w:r>
        <w:rPr>
          <w:sz w:val="22"/>
        </w:rPr>
      </w:r>
    </w:p>
    <w:p>
      <w:pPr>
        <w:pStyle w:val="Normal"/>
        <w:jc w:val="center"/>
        <w:rPr>
          <w:sz w:val="22"/>
        </w:rPr>
      </w:pPr>
      <w:r>
        <w:rPr>
          <w:b/>
          <w:sz w:val="22"/>
        </w:rPr>
        <w:t xml:space="preserve">II.  </w:t>
      </w:r>
      <w:r>
        <w:rPr>
          <w:b/>
          <w:sz w:val="22"/>
          <w:u w:val="single"/>
        </w:rPr>
        <w:t>MISCELLANEOUS</w:t>
      </w:r>
    </w:p>
    <w:p>
      <w:pPr>
        <w:pStyle w:val="Normal"/>
        <w:jc w:val="both"/>
        <w:rPr>
          <w:sz w:val="22"/>
        </w:rPr>
      </w:pPr>
      <w:r>
        <w:rPr>
          <w:sz w:val="22"/>
        </w:rPr>
      </w:r>
    </w:p>
    <w:p>
      <w:pPr>
        <w:pStyle w:val="Normal"/>
        <w:jc w:val="both"/>
        <w:rPr>
          <w:sz w:val="22"/>
        </w:rPr>
      </w:pPr>
      <w:r>
        <w:rPr>
          <w:sz w:val="22"/>
        </w:rPr>
        <w:tab/>
        <w:t>This Amendment may be executed in multiple counterparts, each of which when executed and delivered shall be deemed to be an original and all of which taken together shall constitute but one and the same instrument.</w:t>
      </w:r>
    </w:p>
    <w:p>
      <w:pPr>
        <w:pStyle w:val="Normal"/>
        <w:jc w:val="both"/>
        <w:rPr>
          <w:sz w:val="22"/>
        </w:rPr>
      </w:pPr>
      <w:r>
        <w:rPr>
          <w:sz w:val="22"/>
        </w:rPr>
      </w:r>
    </w:p>
    <w:p>
      <w:pPr>
        <w:pStyle w:val="Normal"/>
        <w:jc w:val="both"/>
        <w:rPr>
          <w:sz w:val="22"/>
        </w:rPr>
      </w:pPr>
      <w:r>
        <w:rPr>
          <w:sz w:val="22"/>
        </w:rPr>
        <w:tab/>
        <w:t>Any and all references to the Master Agreement shall hereafter refer to the Master Agreement as amended by this Amendment and as the same may be amended, supplemented or modified from time to time.  The provisions of this Amendment shall apply to any and all outstanding Transactions under the Master Agreement.  Unless otherwise defined herein, capitalized terms not defined herein shall have the same meanings assigned to such terms in the agreement.</w:t>
      </w:r>
    </w:p>
    <w:p>
      <w:pPr>
        <w:pStyle w:val="Normal"/>
        <w:jc w:val="both"/>
        <w:rPr>
          <w:sz w:val="22"/>
        </w:rPr>
      </w:pPr>
      <w:r>
        <w:rPr>
          <w:sz w:val="22"/>
        </w:rPr>
      </w:r>
    </w:p>
    <w:p>
      <w:pPr>
        <w:pStyle w:val="Normal"/>
        <w:jc w:val="both"/>
        <w:rPr>
          <w:sz w:val="22"/>
        </w:rPr>
      </w:pPr>
      <w:r>
        <w:rPr>
          <w:sz w:val="22"/>
        </w:rPr>
      </w:r>
    </w:p>
    <w:p>
      <w:pPr>
        <w:pStyle w:val="Normal"/>
        <w:jc w:val="both"/>
        <w:rPr>
          <w:sz w:val="22"/>
        </w:rPr>
      </w:pPr>
      <w:r>
        <w:rPr>
          <w:sz w:val="22"/>
        </w:rPr>
        <w:t>IN WITNESS WHEREOF , the parties hereto have caused this Amendment to be executed in multiple originals on March __, 2001.</w:t>
      </w:r>
    </w:p>
    <w:p>
      <w:pPr>
        <w:pStyle w:val="Normal"/>
        <w:jc w:val="both"/>
        <w:rPr>
          <w:sz w:val="22"/>
        </w:rPr>
      </w:pPr>
      <w:r>
        <w:rPr>
          <w:sz w:val="22"/>
        </w:rPr>
      </w:r>
    </w:p>
    <w:p>
      <w:pPr>
        <w:pStyle w:val="Normal"/>
        <w:jc w:val="both"/>
        <w:rPr>
          <w:sz w:val="22"/>
        </w:rPr>
      </w:pPr>
      <w:r>
        <w:rPr>
          <w:sz w:val="22"/>
        </w:rPr>
      </w:r>
    </w:p>
    <w:tbl>
      <w:tblPr>
        <w:tblW w:w="9468" w:type="dxa"/>
        <w:jc w:val="start"/>
        <w:tblInd w:w="0" w:type="dxa"/>
        <w:tblLayout w:type="fixed"/>
        <w:tblCellMar>
          <w:top w:w="0" w:type="dxa"/>
          <w:start w:w="108" w:type="dxa"/>
          <w:bottom w:w="0" w:type="dxa"/>
          <w:end w:w="108" w:type="dxa"/>
        </w:tblCellMar>
      </w:tblPr>
      <w:tblGrid>
        <w:gridCol w:w="4338"/>
        <w:gridCol w:w="900"/>
        <w:gridCol w:w="4230"/>
      </w:tblGrid>
      <w:tr>
        <w:trPr/>
        <w:tc>
          <w:tcPr>
            <w:tcW w:w="4338" w:type="dxa"/>
            <w:tcBorders/>
          </w:tcPr>
          <w:p>
            <w:pPr>
              <w:pStyle w:val="Normal"/>
              <w:spacing w:lineRule="exact" w:line="240"/>
              <w:jc w:val="both"/>
              <w:rPr>
                <w:sz w:val="22"/>
              </w:rPr>
            </w:pPr>
            <w:r>
              <w:rPr>
                <w:sz w:val="22"/>
              </w:rPr>
              <w:t>ENRON NORTH AMERICA CORP.</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sz w:val="22"/>
              </w:rPr>
            </w:pPr>
            <w:r>
              <w:rPr>
                <w:sz w:val="22"/>
              </w:rPr>
              <w:t>GLENCORE LTD.</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r>
            <w:r>
              <w:rPr>
                <w:sz w:val="22"/>
                <w:u w:val="single"/>
              </w:rPr>
              <w:tab/>
              <w:tab/>
              <w:tab/>
              <w:tab/>
            </w:r>
          </w:p>
        </w:tc>
      </w:tr>
      <w:tr>
        <w:trPr/>
        <w:tc>
          <w:tcPr>
            <w:tcW w:w="4338" w:type="dxa"/>
            <w:tcBorders/>
          </w:tcPr>
          <w:p>
            <w:pPr>
              <w:pStyle w:val="Normal"/>
              <w:snapToGrid w:val="false"/>
              <w:spacing w:lineRule="exact" w:line="240"/>
              <w:jc w:val="both"/>
              <w:rPr>
                <w:sz w:val="22"/>
              </w:rPr>
            </w:pPr>
            <w:r>
              <w:rPr>
                <w:sz w:val="22"/>
              </w:rPr>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napToGrid w:val="false"/>
              <w:spacing w:lineRule="exact" w:line="240"/>
              <w:jc w:val="both"/>
              <w:rPr>
                <w:sz w:val="22"/>
              </w:rPr>
            </w:pPr>
            <w:r>
              <w:rPr>
                <w:sz w:val="22"/>
              </w:rPr>
            </w:r>
          </w:p>
        </w:tc>
      </w:tr>
      <w:tr>
        <w:trPr/>
        <w:tc>
          <w:tcPr>
            <w:tcW w:w="4338" w:type="dxa"/>
            <w:tcBorders/>
          </w:tcPr>
          <w:p>
            <w:pPr>
              <w:pStyle w:val="Normal"/>
              <w:snapToGrid w:val="false"/>
              <w:spacing w:lineRule="exact" w:line="240"/>
              <w:jc w:val="both"/>
              <w:rPr>
                <w:sz w:val="22"/>
              </w:rPr>
            </w:pPr>
            <w:r>
              <w:rPr>
                <w:sz w:val="22"/>
              </w:rPr>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napToGrid w:val="false"/>
              <w:spacing w:lineRule="exact" w:line="240"/>
              <w:jc w:val="both"/>
              <w:rPr>
                <w:sz w:val="22"/>
              </w:rPr>
            </w:pPr>
            <w:r>
              <w:rPr>
                <w:sz w:val="22"/>
              </w:rPr>
            </w:r>
          </w:p>
        </w:tc>
      </w:tr>
      <w:tr>
        <w:trPr/>
        <w:tc>
          <w:tcPr>
            <w:tcW w:w="4338" w:type="dxa"/>
            <w:tcBorders/>
          </w:tcPr>
          <w:p>
            <w:pPr>
              <w:pStyle w:val="Normal"/>
              <w:snapToGrid w:val="false"/>
              <w:spacing w:lineRule="exact" w:line="240"/>
              <w:jc w:val="both"/>
              <w:rPr>
                <w:sz w:val="22"/>
              </w:rPr>
            </w:pPr>
            <w:r>
              <w:rPr>
                <w:sz w:val="22"/>
              </w:rPr>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pacing w:lineRule="exact" w:line="240"/>
              <w:jc w:val="both"/>
              <w:rPr>
                <w:sz w:val="22"/>
              </w:rPr>
            </w:pPr>
            <w:r>
              <w:rPr>
                <w:sz w:val="22"/>
              </w:rPr>
              <w:t>GLENCORE AG</w:t>
            </w:r>
          </w:p>
          <w:p>
            <w:pPr>
              <w:pStyle w:val="Normal"/>
              <w:spacing w:lineRule="exact" w:line="240"/>
              <w:jc w:val="both"/>
              <w:rPr>
                <w:sz w:val="22"/>
              </w:rPr>
            </w:pPr>
            <w:r>
              <w:rPr>
                <w:sz w:val="22"/>
              </w:rPr>
            </w:r>
          </w:p>
          <w:p>
            <w:pPr>
              <w:pStyle w:val="Normal"/>
              <w:spacing w:lineRule="exact" w:line="240"/>
              <w:jc w:val="both"/>
              <w:rPr>
                <w:sz w:val="22"/>
              </w:rPr>
            </w:pPr>
            <w:r>
              <w:rPr>
                <w:sz w:val="22"/>
              </w:rPr>
            </w:r>
          </w:p>
          <w:p>
            <w:pPr>
              <w:pStyle w:val="Normal"/>
              <w:spacing w:lineRule="exact" w:line="240"/>
              <w:jc w:val="both"/>
              <w:rPr/>
            </w:pPr>
            <w:r>
              <w:rPr>
                <w:sz w:val="22"/>
              </w:rPr>
              <w:t>By:</w:t>
              <w:tab/>
            </w:r>
            <w:r>
              <w:rPr>
                <w:sz w:val="22"/>
                <w:u w:val="single"/>
              </w:rPr>
              <w:tab/>
              <w:tab/>
              <w:tab/>
              <w:tab/>
            </w:r>
          </w:p>
          <w:p>
            <w:pPr>
              <w:pStyle w:val="Normal"/>
              <w:spacing w:lineRule="exact" w:line="240"/>
              <w:jc w:val="both"/>
              <w:rPr>
                <w:sz w:val="22"/>
              </w:rPr>
            </w:pPr>
            <w:r>
              <w:rPr>
                <w:sz w:val="22"/>
              </w:rPr>
              <w:t>Name:</w:t>
              <w:tab/>
            </w:r>
            <w:r>
              <w:rPr>
                <w:sz w:val="22"/>
                <w:u w:val="single"/>
              </w:rPr>
              <w:tab/>
              <w:tab/>
              <w:tab/>
              <w:tab/>
            </w:r>
          </w:p>
          <w:p>
            <w:pPr>
              <w:pStyle w:val="Normal"/>
              <w:spacing w:lineRule="exact" w:line="240"/>
              <w:jc w:val="both"/>
              <w:rPr>
                <w:sz w:val="22"/>
              </w:rPr>
            </w:pPr>
            <w:r>
              <w:rPr>
                <w:sz w:val="22"/>
              </w:rPr>
              <w:t>Title:</w:t>
              <w:tab/>
              <w:t>__________________________</w:t>
            </w:r>
          </w:p>
          <w:p>
            <w:pPr>
              <w:pStyle w:val="Normal"/>
              <w:spacing w:lineRule="exact" w:line="240"/>
              <w:jc w:val="both"/>
              <w:rPr>
                <w:sz w:val="22"/>
              </w:rPr>
            </w:pPr>
            <w:r>
              <w:rPr>
                <w:sz w:val="22"/>
              </w:rPr>
            </w:r>
          </w:p>
        </w:tc>
      </w:tr>
      <w:tr>
        <w:trPr/>
        <w:tc>
          <w:tcPr>
            <w:tcW w:w="4338" w:type="dxa"/>
            <w:tcBorders/>
          </w:tcPr>
          <w:p>
            <w:pPr>
              <w:pStyle w:val="Normal"/>
              <w:snapToGrid w:val="false"/>
              <w:spacing w:lineRule="exact" w:line="240"/>
              <w:jc w:val="both"/>
              <w:rPr>
                <w:sz w:val="22"/>
              </w:rPr>
            </w:pPr>
            <w:r>
              <w:rPr>
                <w:sz w:val="22"/>
              </w:rPr>
            </w:r>
          </w:p>
        </w:tc>
        <w:tc>
          <w:tcPr>
            <w:tcW w:w="900" w:type="dxa"/>
            <w:tcBorders/>
          </w:tcPr>
          <w:p>
            <w:pPr>
              <w:pStyle w:val="Normal"/>
              <w:snapToGrid w:val="false"/>
              <w:spacing w:lineRule="exact" w:line="240"/>
              <w:jc w:val="both"/>
              <w:rPr>
                <w:sz w:val="22"/>
              </w:rPr>
            </w:pPr>
            <w:r>
              <w:rPr>
                <w:sz w:val="22"/>
              </w:rPr>
            </w:r>
          </w:p>
        </w:tc>
        <w:tc>
          <w:tcPr>
            <w:tcW w:w="4230" w:type="dxa"/>
            <w:tcBorders/>
          </w:tcPr>
          <w:p>
            <w:pPr>
              <w:pStyle w:val="Normal"/>
              <w:snapToGrid w:val="false"/>
              <w:spacing w:lineRule="exact" w:line="240"/>
              <w:jc w:val="both"/>
              <w:rPr>
                <w:sz w:val="22"/>
              </w:rPr>
            </w:pPr>
            <w:r>
              <w:rPr>
                <w:sz w:val="22"/>
              </w:rPr>
            </w:r>
          </w:p>
        </w:tc>
      </w:tr>
    </w:tbl>
    <w:p>
      <w:pPr>
        <w:pStyle w:val="Normal"/>
        <w:rPr/>
      </w:pPr>
      <w:r>
        <w:rPr/>
      </w:r>
    </w:p>
    <w:sectPr>
      <w:footerReference w:type="default" r:id="rId2"/>
      <w:type w:val="nextPage"/>
      <w:pgSz w:w="12240" w:h="15840"/>
      <w:pgMar w:left="1440" w:right="144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ind w:end="-36"/>
      <w:rPr>
        <w:sz w:val="16"/>
      </w:rPr>
    </w:pPr>
    <w:r>
      <w:rPr>
        <w:sz w:val="16"/>
      </w:rPr>
      <w:t>O:\Legal\ATTY.FMS\Swaps\Current Forms\amend000.doc</w:t>
    </w:r>
  </w:p>
  <w:p>
    <w:pPr>
      <w:pStyle w:val="Normal"/>
      <w:ind w:end="-36"/>
      <w:jc w:val="center"/>
      <w:rPr>
        <w:sz w:val="20"/>
      </w:rPr>
    </w:pPr>
    <w:r>
      <w:rPr>
        <w:sz w:val="20"/>
      </w:rPr>
    </w:r>
  </w:p>
  <w:p>
    <w:pPr>
      <w:pStyle w:val="Normal"/>
      <w:ind w:end="-36"/>
      <w:jc w:val="center"/>
      <w:rPr/>
    </w:pP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3</w:t>
    </w:r>
    <w:r>
      <w:rPr>
        <w:rStyle w:val="PageNumber"/>
        <w:sz w:val="20"/>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3">
    <w:name w:val="heading 3"/>
    <w:basedOn w:val="Normal"/>
    <w:next w:val="NormalIndent"/>
    <w:qFormat/>
    <w:pPr>
      <w:numPr>
        <w:ilvl w:val="2"/>
        <w:numId w:val="1"/>
      </w:numPr>
      <w:ind w:hanging="0" w:start="360" w:end="0"/>
      <w:outlineLvl w:val="2"/>
    </w:pPr>
    <w:rPr>
      <w:rFonts w:ascii="Times" w:hAnsi="Times" w:cs="Times"/>
      <w:b/>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hanging="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2001-03-02T12:03:00Z</dcterms:created>
  <dc:creator>mheard</dc:creator>
  <dc:description/>
  <dc:language>en-CA</dc:language>
  <cp:lastModifiedBy>porterd</cp:lastModifiedBy>
  <cp:lastPrinted>2001-03-01T10:28:00Z</cp:lastPrinted>
  <dcterms:modified xsi:type="dcterms:W3CDTF">2001-03-02T12:14:00Z</dcterms:modified>
  <cp:revision>4</cp:revision>
  <dc:subject/>
  <dc:title>AMENDMENT TO MASTER AGREEMENT</dc:title>
</cp:coreProperties>
</file>