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{\rtf1\ansi\ansicpg1252\uc1 \deff0\deflang1033\deflangfe1033{\fonttbl{\f0\froman\fcharset0\fprq2{\*\panose 02020603050405020304}Times New Roman;}{\f35\fswiss\fcharset0\fprq2{\*\panose 020b0506020202030204}Arial Narrow;}{\f53\froman\fcharset238\fprq2 Times New Roman CE;}{\f54\froman\fcharset204\fprq2 Times New Roman Cyr;}{\f56\froman\fcharset161\fprq2 Times New Roman Greek;}{\f57\froman\fcharset162\fprq2 Times New Roman Tur;}{\f58\froman\fcharset186\fprq2 Times New Roman Baltic;}{\f263\fswiss\fcharset238\fprq2 Arial Narrow CE;}{\f264\fswiss\fcharset204\fprq2 Arial Narrow Cyr;}{\f266\fswiss\fcharset161\fprq2 Arial Narrow Greek;}{\f267\fswiss\fcharset162\fprq2 Arial Narrow Tur;}{\f268\fswiss\fcharset186\fprq2 Arial Narrow Baltic;}}{\colortbl;\red0\green0\blue0;\red0\green0\blue255;\red0\green255\blue255;\red0\green255\blue0;\red255\green0\blue255;\red255\green0\blue0;\red255\green255\blue0;\red255\green255\blue255;\red0\green0\blue128;\red0\green128\blue128;\red0\green128\blue0;\red128\green0\blue128;\red128\green0\blue0;\red128\green128\blue0;\red128\green128\blue128;\red192\green192\blue192;}{\stylesheet{\widctlpar\adjustright \fs20\cgrid \snext0 Normal;}{\s2\qj\fi720\sa120\sl240\slmult0\widctlpar\adjustright \cgrid \sbasedon0 \snext15 heading 2;}{\*\cs10 \additive Default Paragraph Font;}{\s15\qj\sa120\sl240\slmult0\widctlpar\adjustright \cgrid \sbasedon0 \snext2 Justified;}{\s16\qj\li720\sa120\widctlpar\adjustright \cgrid \sbasedon0 \snext16 Body Text 2;}}{\*\listtable{\list\listtemplateid-726746448\listsimple{\listlevel\levelnfc0\leveljc0\levelfollow0\levelstartat6\levelspace0\levelindent0{\leveltext\'02\'00.;}{\levelnumbers\'01;}\fbias0 \fi-720\li720\jclisttab\tx720 }{\listname ;}\listid969743043}{\list\listtemplateid-400503460\listsimple{\listlevel\levelnfc0\leveljc0\levelfollow0\levelstartat6\levelspace0\levelindent0{\leveltext\'02\'00.;}{\levelnumbers\'01;}\fbias0 \fi-720\li720\jclisttab\tx720 }{\listname ;}\listid1069570630}{\list\listtemplateid67698703\listsimple{\listlevel\levelnfc0\leveljc0\levelfollow0\levelstartat8\levelspace0\levelindent0{\leveltext\'02\'00.;}{\levelnumbers\'01;}\fbias0 \fi-360\li360\jclisttab\tx360 }{\listname ;}\listid1771318593}}{\*\listoverridetable{\listoverride\listid969743043\listoverridecount0\ls1}{\listoverride\listid1069570630\listoverridecount0\ls2}{\listoverride\listid1771318593\listoverridecount0\ls3}}{\info{\title SECOND AMENDMENT TO}{\author dperlin}{\operator MIC9888}{\creatim\yr2000\mo1\dy6\hr11\min48}{\revtim\yr2000\mo7\dy18\hr11\min30}{\printim\yr1999\mo4\dy13\hr15\min26}{\version3}{\edmins10}{\nofpages1}{\nofwords1386}{\nofchars7901}{\*\company ect}{\nofcharsws9702}{\vern113}}\widowctrl\ftnbj\aenddoc\formshade\viewkind4\viewscale100\pgbrdrhead\pgbrdrfoot \fet0\sectd \linex0\endnhere\sectdefaultcl {\*\pnseclvl1\pnucrm\pnstart1\pnindent720\pnhang{\pntxta .}}{\*\pnseclvl2\pnucltr\pnstart1\pnindent720\pnhang{\pntxta .}}{\*\pnseclvl3\pndec\pnstart1\pnindent720\pnhang{\pntxta .}}{\*\pnseclvl4\pnlcltr\pnstart1\pnindent720\pnhang{\pntxta )}}{\*\pnseclvl5\pndec\pnstart1\pnindent720\pnhang{\pntxtb (}{\pntxta )}}{\*\pnseclvl6\pnlcltr\pnstart1\pnindent720\pnhang{\pntxtb (}{\pntxta )}}{\*\pnseclvl7\pnlcrm\pnstart1\pnindent720\pnhang{\pntxtb (}{\pntxta )}}{\*\pnseclvl8\pnlcltr\pnstart1\pnindent720\pnhang{\pntxtb (}{\pntxta )}}{\*\pnseclvl9\pnlcrm\pnstart1\pnindent720\pnhang{\pntxtb (}{\pntxta )}}\pard\plain \widctlpar\adjustright \fs20\cgrid {\b\fs24\highlight7 REDRAFT OF 6/7/99}{\b\fs24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\qc\widctlpar\adjustright {\b\fs24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AMENDMENT TO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\qc\sa240\widctlpar\adjustright {\b\fs24 MASTER FIRM PURCHASE AND SALE AGREEMENT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{\fs24 \tab This Amendment to Master Firm Purchase and Sale Agreement is made and entered into effective as of the 1st day of March, 1999, by and between Enron Capital &amp; Trade Resources Corp.}{\b\fs24 ,}{\fs24  a Delaware corporation ("Company") and IDACORP Energy Solutions L.P., a Delaware }{\strike\fs24\cf6 corporation}{\fs24  }{\fs24\highlight7 limited partnership}{\fs24  ("Customer") successor in interest to Idaho Power Company.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\qc\sb120\sa120\widctlpar\adjustright {\b\fs24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WITNESSETH: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\qj\sa120\widctlpar\adjustright {\fs24 \tab WHEREAS, Customer and Company entered into that certain Master Firm Purchase and Sale Agreement dated effective May 1, 1997 ("Agreement"), covering transactions for the purchase or sale of Gas;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WHEREAS, the Parties now desire to amend the Agreement }{\strike\fs24\cf6 to alter the Triggering Event, Material Adverse Change language, }{\fs24 and Exhibit "A" }{\fs24\highlight7 as set forth below.}{\fs24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NOW, THEREFORE, in consideration of the premises and the agreements herein contained, the Parties agree as follows: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\s15\qj\sa120\sl240\slmult0\widctlpar\adjustright \cgrid {1.\tab All references in any writing related to the Agreement shall be to the Agreement as amended hereby.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\s15\qj\sa120\widctlpar\adjustright {2.\tab All capitalized terms used herein unless otherwise defined shall have the meanings given to them in the Agreement.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\qj\sa120\widctlpar\adjustright \fs20\cgrid {\fs24\highlight7 3.\tab Section 2.4 }{\fs24\ul\highlight7 Confirmations.}{\fs24\highlight7  is amended by the addition thereto of the words \ldblquote absent manifest error\rdblquote  before the period after the words \ldblquote its terms.\rdblquote  in the last sentence of the section.}{\fs24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\s15\qj\sa120\widctlpar\adjustright \cgrid {\highlight7 4.\tab Section 3.5 }{\ul\highlight7 Netting.}{\highlight7  is amended by deleting therefrom the word \ldblquote may\rdblquote  each time it appears in the third line and in the fifth line and substituting the word \ldblquote shall\rdblquote  in its place in each case.}{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\qj\nowidctlpar\tx720\tx1440\tx2160\tx2880\tx3600\tx4320\tx5040\tx5760\tx6480\tx7200\tx7920\tx8640\tx9360\adjustright \fs20\cgrid {\strike\fs24\cf6 3.}{\fs24  }{\fs24\highlight7 5.}{\fs24  The following provision replaces and restates in its entirety }{\b\fs24\ul Section 4.2}{\f35\fs24\ul  }{\b\fs24\ul Triggering Event}{\fs24  shall mean, with respect to a Party (the "}{\fs24\ul Affected Party}{\fs24 "):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}{\fs24\ul Section 4.2}{\fs24  as a separate Triggering Event), and such failure is not excused by }{\fs24\ul Force Majeure}{\fs24  or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or cause under any bankruptcy or similar law for the protection of creditors, or have such petition filed against it }{\strike\fs24\cf6 and such proceeding remains undismissed for 30 Days,}{\fs24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}{\fs24\ul sum}{\fs24  of (in each case rounding upwards for }{\fs24\ul any}{\fs24  fractional amount to the next $250,000) (a) the Notifying Party's Termination Payment }{\fs24\ul plus}{\fs24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}{\strike\fs24\cf6 E}{\fs24\highlight7 e}{\fs24 xcess of $50,000,000, or the Company's Guarantor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or (x) with respect to Customer, at any time, Customer's ultimate parent IDACORP, Inc. shall have defaulted on its indebted\-ness to third parties, resulting in an acceleration of obligations of  Customer in excess of $25,000,000. }{\fs24\highlight7 As used herein \ldblquote Company\rquote s Guarantor\rdblquote  shall mean Enron Corp.,}{\f35\fs18\highlight7  }{\fs24\highlight7 or (xi) a \ldblquote Cross Default\rdblquote . A Cross Default means a default, event of default, or other similar condition or event in respect of such party under one or more contracts or agreements between the Parties hereto relating to the purchase, sale, exchange, transportation, commodity price swap, commodity option or similar transactions with respect to Gas, electric power or other energy commodities.}{\fs24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\qj\sa120\widctlpar\adjustright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{\pntext\pard\plain\ul\highlight7\cgrid \hich\af0\dbch\af0\loch\f0 6.\tab}}\pard \qj\fi-720\li720\widctlpar\jclisttab\tx720{\*\pn \pnlvlbody\ilvl0\ls2\pnrnot0\pndec\pnstart6\pnindent720\pnhang{\pntxta .}}\ls2\adjustright {\fs24\ul\highlight7 Article 5. Force Majeure}{\fs24\highlight7  is hereby amended by the addition thereto after the last sentence  the following: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\qj\fi60\li720\widctlpar\adjustright {\fs24\highlight7 \ldblquote In the event of a partial Force Majeure, the affected Party shall allocate available supplies or markets, as the case may be, on a pro-rata basis among its firm commitments without regard to price paid or received.\rdblquote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\s16\qj\li720\sa120\widctlpar\adjustright \cgrid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\qj\sa120\widctlpar\adjustright \fs20\cgrid {\strike\fs24\cf6 4 }{\fs24\highlight7 7}{\fs24 .\tab The definition of "Material Adverse Change" set forth in the }{\fs24\ul Appendix "1" Enfolio General Provisions }{\fs24 of the Agreement is hereby }{\strike\fs24\cf6 amended}{\fs24  }{\fs24\highlight7 deleted}{\fs24  in its entirety }{\strike\fs24\cf6 as set for  below: }{\fs24\highlight7 and replaced with the following:}{\fs24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\s15\qj\sa120\widctlpar\adjustright \cgrid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\s15\qj\li720\sa120\widctlpar\adjustright {"Material Adverse Change" means with respect to Customer, IDACORP, Inc. shall have, long-term debt  unsupported by third party credit enhancement rated by S&amp;P below "BBB-" or with respect to Company, Enron Corp. shall have long-term debt unsupported by third party credit enhancement that is rated by S&amp;P below "BBB-".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{\pntext\pard\plain\highlight7\cgrid \hich\af0\dbch\af0\loch\f0 8.\tab}}\pard\plain \qj\widctlpar\jclisttab\tx720{\*\pn \pnlvlbody\ilvl0\ls3\pnrnot0\pndec\pnstart8\pnindent360\pnhang{\pntxta .}}\ls3\adjustright \fs20\cgrid {\fs24\highlight7 The definition of }{\fs24\ul\highlight7 \ldblquote Force Majeure\rdblquote }{\fs24\highlight7  set forth in }{\fs24\ul\highlight7 Appendix \ldblquote 1\rdblquote  Enfolio General Provisions}{\fs24\highlight7  of the Agreement is hereby amended by the addition thereto, after the last sentence, of  the following: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\s15\qj\li720\widctlpar\adjustright \cgrid {\highlight7 \ldblquote Force Majeure shall not excuse performance: (a) by either Party in connection with an EFP/ADP transaction undertaken with the agreement of the non-performing party unless firm transportation is not available to and from the Delivery Point; or (b) by either Party where the delivery/receipt of the gas occurs at a pooling point and gas continues to be available for purchase and sale at such pooling point.\rdblquote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\s2\qj\sa120\sl240\slmult0\widctlpar\outlinelevel1\adjustright \cgrid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\s15\qj\sa120\sl240\slmult0\widctlpar\adjustright \cgrid {\strike\cf6 5.}{\highlight7 9.}{\tab The Parties hereby acknowledge and agree that, except as specifically amended hereby, the Agreement shall remain in full force and effect in accordance with its terms.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}{\strike\cf6 6}{\highlight7 .10.}{\tab This Amendment may be executed in counterparts, each of which taken together shall constitute one and the same instrument.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IN WITNESS WHEREOF, Enron Capital &amp; Trade Resources Corp. and IDACORP Energy Solutions L.P. their respective authorized representatives, have executed this  Amendment effective as of the date first written above.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\s2\qj\fi720\sa120\sl240\slmult0\widctlpar\outlinelevel1\adjustright \cgrid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\s15\qj\sa120\sl240\slmult0\widctlpar\adjustright \cgrid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\tab \tab ENRON CAPITAL &amp; TRADE RESOURCES CORP.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\s2\qj\fi720\sa120\sl240\slmult0\widctlpar\outlinelevel1\adjustright \cgrid {\tab \tab Signature:}{\ul \tab \tab \tab \tab \tab \tab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\tab By:}{\ul \tab \tab \tab \tab \tab \tab \tab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\s15\qj\sa120\sl240\slmult0\widctlpar\adjustright \cgrid {\tab \tab \tab Title:}{\ul \tab \tab \tab \tab \tab \tab \tab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\s2\qj\fi720\sa120\sl240\slmult0\widctlpar\outlinelevel1\adjustright \cgrid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\s15\qj\sa120\sl240\slmult0\widctlpar\adjustright \cgrid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\s2\qj\fi720\sa120\sl240\slmult0\widctlpar\outlinelevel1\adjustright \cgrid {\tab             IDACORP ENERGY SOLUTIONS  L.P.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\s15\qj\sa120\sl240\slmult0\widctlpar\adjustright \cgrid {\tab \tab \tab By Its General Partner IDACORP, INC.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\tab \tab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\s15\qj\fi720\sa120\sl240\slmult0\widctlpar\adjustright {\tab \tab Signature:}{\ul \tab \tab \tab \tab \tab \tab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\s2\qj\fi720\sa120\sl240\slmult0\widctlpar\outlinelevel1\adjustright \cgrid {\tab \tab By:\tab }{\highlight7 Keith Stephenson}{\ul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\tab Title:\tab }{\highlight7 General Manager}{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\s15\qj\sa120\sl240\slmult0\widctlpar\adjustright \cgrid {\tab \tab \tab \tab }{\highlight7 Southwest Gas Services}{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\widctlpar\adjustright \fs20\cgrid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\qc\widctlpar\adjustright {\b\f35\fs18 EXHIBIT "A"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}{\f35\fs18 ENFOLIO MASTER FIRM PURCHASE/SALE AGREEMENT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\widctlpar\adjustright {\f35\fs18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\qc\widctlpar\tqc\tx10800\adjustright {\f35\fs18 NOTICE / COMMUNICATION / PAYMENT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{\b\f35\fs18 TO COMPANY: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Notices/Correspondence: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\qj\widctlpar\tqc\tx5760\adjustright {\f35\fs18 P.O. Box 4428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Houston, Texas   77210-4428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Attn:  Documentation and Deal Clearing Desk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Facsimile No.  (713) 646-4816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Termination Notice Facsimile No.  (713) 646-4818}{\b\f35\fs18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{\b\f35\fs18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Invoices: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\qj\widctlpar\tqc\tx5760\adjustright {\f35\fs18 P.O. Box 4428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Houston, Texas   77210-4428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Attn:  Client Services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Facsimile No.  (713) 646-8420}{\b\f35\fs18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{\b\f35\fs18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Payments:}{\f35\fs18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Enron Capital &amp; Trade Resources Corp.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ABA Routing 111000012 NationsBank TX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Account  3750494099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}{\b\f35\fs18 Nominations:  }{\f35\fs18 1(800)356-9427/1(800)FLOWGAS}{\b\f35\fs18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Confirmations:  }{\f35\fs18 ECT Gas Trading 1(713)646-2531}{\b\f35\fs18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TO CUSTOMER: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Notices/Correspondence:}{\f35\fs18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IDACORP Energy Solutions L.P.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Attn.:  Contracts Administrator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1221 West Idaho (83702)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P.O. Box 70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Boise, ID  83707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Phone:  208/388-2333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Fax:  208/388-6905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Federal Tax ID Number:  82-0507901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}{\b\f35\fs18 Invoices:}{\f35\fs18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IDACORP Energy Solutions L.P.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Attn.:  Shawna Specht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1221 West Idaho (83702)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P.O. Box 70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Boise, ID  83707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Phone:  208/388-2595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Fax:  208/388-5480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}{\b\f35\fs18 Payments:}{\f35\fs18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U S Bank of Idaho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Plaza Office, Boise, ID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ABA No.:  123103729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For Credit to:  IDACORP Energy Solutions L.P.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General Fund Account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Account No.:  153390192638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\qj\widctlpar\outlinelevel0\adjustright {\b\f35\fs18 Confirmations: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}{\f35\fs18 Telephone No:  (208) 388-2607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Facsimile No.:    (208) 388-5480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\qj\sl144\slmult1\widctlpar\adjustright {\f35\fs18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\qj\widctlpar\outlinelevel0\adjustright {\b\f35\fs18 Houston Nominations: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}{\f35\fs18 Telephone No.:  (713) 435-8210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{\f35\fs18 Facsimile No.:    (713) 435-8203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\qj\widctlpar\outlinelevel0\adjustright {\b\f35\fs18 Boise Nominations: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}{\f35\fs18 Telephone No.:  (208) 388-2286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\qj\widctlpar\adjustright {\f35\fs18 Facsimile No.:    (208) 388-5480}{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\par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