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spacing w:lineRule="atLeast" w:line="240"/>
        <w:ind w:firstLine="720" w:end="0"/>
        <w:jc w:val="both"/>
        <w:rPr>
          <w:sz w:val="22"/>
        </w:rPr>
      </w:pPr>
      <w:r>
        <w:rPr>
          <w:sz w:val="22"/>
        </w:rPr>
        <w:t>This Guaranty (this “Guaranty”), dated effective as of October __, 2001 (the “Effective Date”),  is made and entered into by ENRON CORP., an Oregon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certain divisions, subsidiaries and affiliates of Guarantor (excluding EOTT Energy Trading Partners LP), including without limitation, Enron North America Corp., ENA Upstream Company LLC, Enron Energy Services, Inc., Enron Liquid Fuels, Inc., Enron Power Marketing, Inc., Enron Reserve Acquisition Corp., Enron Capital &amp; Trade Resources Limited, Enron Capital &amp; Trade Resources International Corp, Enron Gas Liquids, Inc., Enron Europe Finance &amp; Trading Ltd., Enron Canada Corp., Enron Capital Corp., Enron Capital &amp; Trade Resources Singapore PTE Ltd. and Enron Clean Fuels Company (such entities being hereinafter collectively referred to as the “Enron Parties” and individually as an “Enron Party”) and  Amerada Hess Corporation (“AHC”) and certain divisions, subsidiaries and affiliates of Amerada Hess Corporation, including, without limitation,  Amerada Hess Gas Limited, Hess Energy Services Company, LLC, Hess Energy Trading Company (UK) Limited, Hess Energy Trading Company, LLC, Amerada Hess Ltd. (such entities being hereinafter collectively referred to as the “Counterparty Parties” and individually as a “Counterparty Party”) have entered into and/or will enter into (1) one or more swap, option, or other financially-settled derivative transactions  (the “Financial Transactions”), which Financial Transactions will be evidenced by one or more swap agreements, confirmations and/or master agreements (all such Financial Transactions and the agreements evidencing same, whether entered into prior to, on or after the date hereof, as the same may be modified, amended and supplemented, shall be herein referred to collectively as the “Financial Contracts”) ; (2) one or more power (including electrical energy capacity and/or products and services related thereto) transactions (the “Power Transactions”), which Power Transactions will be evidenced by one or more purchase and sale agreements, confirmations and/or master agreements, as the same may from time to time be modified, amended and supplemented (all such Power Transactions and the agreements evidencing same, whether entered into prior to, on or after the date hereof, as the same may be modified, amended and supplemented, shall be herein referred to collectively as the “Power Contracts”); (3) one or more gas, crude oil, petroleum product, coal, bandwidth, pulp, paper, wood products and/or any other commodity transactions (the “Commodity Transactions”, and together with the Financial Transactions and the Power Transactions being hereinafter collectively referred to as the “Transactions”), which Commodity Transactions will be evidenced by one or more purchase and sale agreements, confirmations and/or master agreements, as the same may from time to time be modified, amended and supplemented (all such Commodity Transactions and the agreements evidencing same, whether entered into prior to, on or after the date hereof, as the same may be modified, amended and supplemented, shall be herein referred to collectively as the “Physical Contracts” and together with the Financial Contracts and the Power Contracts being hereinafter collectively referred to as the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entered into those certain Guaranty Agreements dated January 28, 1998 and April 1, 1997 (collectively, the “Prior Guaranty Agreements”) for the benefit of one or more  Counterparty Party;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GuarantyAgreements; and</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that have been and that will be entered into between the Enron Parties and the Counterparty Parties.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Counterparty Parties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the Enron Parties (the “Obligations”) to the  Counterparty Parties under the Contracts, and (b) to the extent that any of the Enron Parties shall fail to pay any Obligations to any Counterparty Party, Guarantor shall promptly pay to such Counterparty Party the amount due.  This Guaranty shall constitute a guarantee of payment and not of collection.  The liability of Guarantor under this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U.S. $75,000,000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szCs w:val="22"/>
        </w:rPr>
      </w:pPr>
      <w:r>
        <w:rPr>
          <w:sz w:val="22"/>
          <w:u w:val="single"/>
        </w:rPr>
        <w:t>DEMANDS AND NOTICE</w:t>
      </w:r>
      <w:r>
        <w:rPr>
          <w:sz w:val="22"/>
        </w:rPr>
        <w:t xml:space="preserve">. </w:t>
      </w:r>
      <w:r>
        <w:rPr>
          <w:sz w:val="22"/>
          <w:szCs w:val="22"/>
        </w:rPr>
        <w:t>Upon the occurrence and during the continuance of an Event of Default or Termination Event, as may be defined in any Contract,</w:t>
      </w:r>
      <w:r>
        <w:rPr>
          <w:color w:val="FF0000"/>
          <w:sz w:val="22"/>
          <w:szCs w:val="22"/>
        </w:rPr>
        <w:t xml:space="preserve"> </w:t>
      </w:r>
      <w:r>
        <w:rPr>
          <w:sz w:val="22"/>
          <w:szCs w:val="22"/>
        </w:rPr>
        <w:t>if</w:t>
      </w:r>
      <w:r>
        <w:rPr>
          <w:sz w:val="22"/>
        </w:rPr>
        <w:t xml:space="preserve"> any Enron Party (the “Defaulting Enron Party”) fails or refuses to pay any Obligations, and any Counterparty Party (the “Non-Defaulting Counterparty Party”) has elected to exercise its rights under this Guaranty,  such Non-Defaulting Counterparty Party shall make a demand upon Guarantor (hereinafter referred to as a “Payment Demand”).  A Payment Demand shall be in writing and shall reasonably and briefly specify in what manner and what amount the Defaulting  Enron Party has failed to pay and an explanation of why such payment is due, with a specific statement that such Non-Defaulting Counterparty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two (2) Business Days after its receipt of the Payment Demand.  A single written Payment Demand shall be effective as to any specific default during the continuance of such default, until the Defaulting Enron Party or Guarantor has cured such default, and additional written demands concerning such default shall not be required until such default is cured.  </w:t>
      </w:r>
      <w:r>
        <w:rPr>
          <w:sz w:val="22"/>
          <w:szCs w:val="22"/>
        </w:rPr>
        <w:t>As used herein, the term “Business Day” shall mean a day on which commercial banks or financial institutions are open for business in Houston, Texas and New York, New York.</w:t>
      </w:r>
    </w:p>
    <w:p>
      <w:pPr>
        <w:pStyle w:val="Normal"/>
        <w:spacing w:lineRule="atLeast" w:line="240"/>
        <w:jc w:val="both"/>
        <w:rPr>
          <w:sz w:val="22"/>
          <w:szCs w:val="22"/>
        </w:rPr>
      </w:pPr>
      <w:r>
        <w:rPr>
          <w:sz w:val="22"/>
          <w:szCs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one or more Counterparty Parties with respect to Obligations owed under more than one Contract in excess of the Guarantee Cap, Guarantor’s total payment up to but not exceeding the Guarantee Cap, shall be allocated among the Contracts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any Defaulting Enron Party is or may be entitled to arising from or out of the Contracts or otherwise, except for defenses arising out of the bankruptcy, insolvency, dissolution or liquidation of any Defaulting Enron 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AHC.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the Enron Parties or any other person, or to require that any Counterparty Party seek enforcement of any performance against any Enron Party or any other person, prior to any action against Guarantor under the terms hereof.  Except as to applicable statutes of limitation, no delay of Counterparty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fifteen (15) after receipt by AHC of such termination notice.  No such termination shall affect Guarantor’s liability with respect to any Transactions entered into prior to the time the termination is effective, which Transactions and the obligations of the Enron Parties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 </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 Parties:</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Amerada Hess Corporation</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1185 Avenue of the Americas</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New York, New York 10034</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Attn.:  Vice-President – Commodities Accounting</w:t>
            </w:r>
          </w:p>
          <w:p>
            <w:pPr>
              <w:pStyle w:val="Normal"/>
              <w:keepNext w:val="true"/>
              <w:keepLines/>
              <w:tabs>
                <w:tab w:val="clear" w:pos="720"/>
                <w:tab w:val="left" w:pos="3132" w:leader="none"/>
              </w:tabs>
              <w:spacing w:lineRule="atLeast" w:line="240"/>
              <w:rPr>
                <w:color w:val="000000"/>
                <w:sz w:val="22"/>
              </w:rPr>
            </w:pPr>
            <w:r>
              <w:rPr>
                <w:color w:val="000000"/>
                <w:sz w:val="22"/>
              </w:rPr>
              <w:t>Telex No.:  82 935</w:t>
            </w:r>
          </w:p>
          <w:p>
            <w:pPr>
              <w:pStyle w:val="Normal"/>
              <w:keepNext w:val="true"/>
              <w:keepLines/>
              <w:tabs>
                <w:tab w:val="clear" w:pos="720"/>
                <w:tab w:val="left" w:pos="3132" w:leader="none"/>
              </w:tabs>
              <w:spacing w:lineRule="atLeast" w:line="240"/>
              <w:rPr>
                <w:color w:val="000000"/>
                <w:sz w:val="22"/>
              </w:rPr>
            </w:pPr>
            <w:r>
              <w:rPr>
                <w:color w:val="000000"/>
                <w:sz w:val="22"/>
              </w:rPr>
              <w:t>Answerback AHTOG UF</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spacing w:lineRule="atLeast" w:line="240"/>
        <w:ind w:firstLine="720" w:end="0"/>
        <w:jc w:val="both"/>
        <w:rPr>
          <w:sz w:val="22"/>
        </w:rPr>
      </w:pPr>
      <w:r>
        <w:rPr>
          <w:sz w:val="22"/>
        </w:rPr>
      </w:r>
    </w:p>
    <w:p>
      <w:pPr>
        <w:pStyle w:val="BodyTextIndent"/>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and its successors and assigns.  This Guaranty embodies the entire agreement and understanding between Guarantor and the Counterparty parties and supersedes all prior agreements and understandings relating to the subject matter hereof, including, without limitation, the Prior Guaranty Agreements.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the Prior Guaranty Agreements shall become null and void and of no further force or effect and this Guaranty shall become effective.  Upon receipt of an originally executed copy of this Guaranty, AHC agrees to promptly return the originals of the Prior Guaranty Agreements to Guarantor.  It is expressly acknowledged that this Guaranty is given in replacement and substitution of the Prior Guaranty Agreements and shall become operative only upon termination of the Prior Guaranty Agreements as set forth in this Paragraph 9.</w:t>
      </w:r>
    </w:p>
    <w:p>
      <w:pPr>
        <w:pStyle w:val="Normal"/>
        <w:spacing w:lineRule="atLeast" w:line="240"/>
        <w:ind w:firstLine="720" w:end="0"/>
        <w:jc w:val="both"/>
        <w:rPr>
          <w:sz w:val="22"/>
        </w:rPr>
      </w:pPr>
      <w:r>
        <w:rPr>
          <w:sz w:val="22"/>
        </w:rPr>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effective as of the Effective Date.</w:t>
      </w:r>
    </w:p>
    <w:p>
      <w:pPr>
        <w:pStyle w:val="Normal"/>
        <w:spacing w:lineRule="atLeast" w:line="240"/>
        <w:ind w:firstLine="720" w:end="0"/>
        <w:jc w:val="both"/>
        <w:rPr>
          <w:sz w:val="22"/>
        </w:rPr>
      </w:pPr>
      <w:r>
        <w:rPr>
          <w:sz w:val="22"/>
        </w:rPr>
      </w:r>
    </w:p>
    <w:p>
      <w:pPr>
        <w:pStyle w:val="Normal"/>
        <w:keepNext w:val="true"/>
        <w:keepLines/>
        <w:spacing w:lineRule="exact" w:line="240"/>
        <w:ind w:start="5040" w:end="0"/>
        <w:jc w:val="both"/>
        <w:rPr>
          <w:b/>
          <w:bCs/>
          <w:sz w:val="22"/>
        </w:rPr>
      </w:pPr>
      <w:r>
        <w:rPr>
          <w:b/>
          <w:bCs/>
          <w:sz w:val="22"/>
        </w:rPr>
        <w:t>ENRON CORP.</w:t>
      </w:r>
    </w:p>
    <w:p>
      <w:pPr>
        <w:pStyle w:val="Normal"/>
        <w:keepNext w:val="true"/>
        <w:keepLines/>
        <w:spacing w:lineRule="exact" w:line="240"/>
        <w:ind w:start="5040" w:end="0"/>
        <w:jc w:val="both"/>
        <w:rPr>
          <w:b/>
          <w:bCs/>
          <w:sz w:val="22"/>
        </w:rPr>
      </w:pPr>
      <w:r>
        <w:rPr>
          <w:b/>
          <w:bCs/>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rPr>
          <w:sz w:val="22"/>
          <w:u w:val="single"/>
        </w:rPr>
      </w:pPr>
      <w:r>
        <w:rPr>
          <w:sz w:val="22"/>
          <w:u w:val="single"/>
        </w:rPr>
      </w:r>
    </w:p>
    <w:p>
      <w:pPr>
        <w:pStyle w:val="Normal"/>
        <w:rPr>
          <w:sz w:val="22"/>
        </w:rPr>
      </w:pPr>
      <w:r>
        <w:rPr>
          <w:sz w:val="22"/>
        </w:rPr>
        <w:t>ACCEPTED AND AGREED TO:</w:t>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Enron</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2001-10-29T15:25:00Z</dcterms:created>
  <dc:creator>tjones</dc:creator>
  <dc:description/>
  <dc:language>en-CA</dc:language>
  <cp:lastModifiedBy>cstclai</cp:lastModifiedBy>
  <cp:lastPrinted>2001-10-29T16:22:00Z</cp:lastPrinted>
  <dcterms:modified xsi:type="dcterms:W3CDTF">2001-10-29T19:52:00Z</dcterms:modified>
  <cp:revision>4</cp:revision>
  <dc:subject/>
  <dc:title>EXHIBIT A</dc:title>
</cp:coreProperties>
</file>