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2001(the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certain divisions, subsidiaries and affiliates of Guarantor, including without limitation, Enron North America Corp., ENA Upstream Company LLC, Enron Energy Services, Inc., Enron Liquid Fuels, Inc., Enron Power Marketing, Inc., Enron Reserve Acquisition Corp., Enron Capital &amp; Trade Resources Limited, Enron Capital &amp; Trade Resources International Corp, Enron Gas Liquids, Inc., Enron Europe Finance &amp; Trading Ltd., Enron Canada Corp., Enron Capital Corp., Enron Capital &amp; Trade Resources Singapore Ltd. and _____________ (such entities being hereinafter collectively referred to as the “Enron Parties” and individually as an “Enron Party”) and  Amerada Hess Corporation and certain divisions, subsidiaries and affiliates of Amerada Hess Corporation, including, without limitation,  Amerada Hess Gas Limited, Hess Energy Services Company, Hess Energy Trading Company (UK) Limited, Hess Energy Trading Company LLC, Amerada Hess Ltd. and ___________ such entities being hereinafter collectively referred to as the “Counterparty Parties” and individually as a “Counterparty Party”) have entered into and/or will enter into (1) one or more swap, option, or other financially-settled derivative transactions  (the “Financial Transactions”), which Financial Transactions will be evidenced by one or more swap agreements, confirmations and/or master agreements (all such Financial Transactions and the agreements evidencing same, whether entered into prior to, on or after the date hereof, as the same may be modified, amended and supplemented, shall be herein referred to collectively as the “Financial Contracts”) ; (2) one or more power (including electrical energy capacity and/or products and services related thereto) transactions (the “Power Transactions”), which Power Transactions will be evidenced by one or more purchase and sale agreements, confirmations and/or master agreements, as the same may from time to time be modified, amended and supplemented (all such Power Transactions and the agreements evidencing same, whether entered into prior to, on or after the date hereof, as the same may be modified, amended and supplemented, shall be herein referred to collectively as the “Power Contracts”); (3) one or more gas, crude oil, petroleum product, coal, bandwidth, pulp, paper, wood products and/or any other commodity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as the same may from time to time be modified, amended and supplemented (all such Commodity Transactions and the agreements evidencing same,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entered into those certain Guaranty Agreements dated January 28, 1998 and April 1, 1997 (collectively, the “Prior Guaranty Agreements”) for the benefit of one or more  Counterparty Party;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GuarantyAgreements;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the Counterparty Parties.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Counterparty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the  Counterparty Parties under the Contracts, and (b) to the extent that any of the Enron Parties shall fail to pay any Obligations to any Counterparty Party, Guarantor shall promptly pay to such Counterparty 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szCs w:val="22"/>
        </w:rPr>
      </w:pPr>
      <w:r>
        <w:rPr>
          <w:sz w:val="22"/>
          <w:u w:val="single"/>
        </w:rPr>
        <w:t>DEMANDS AND NOTICE</w:t>
      </w:r>
      <w:r>
        <w:rPr>
          <w:sz w:val="22"/>
        </w:rPr>
        <w:t xml:space="preserve">. </w:t>
      </w:r>
      <w:r>
        <w:rPr>
          <w:sz w:val="22"/>
          <w:szCs w:val="22"/>
        </w:rPr>
        <w:t>Upon the occurrence and during the continuance of an Event of Default or Termination Event, as may be defined in any Contract,</w:t>
      </w:r>
      <w:r>
        <w:rPr>
          <w:color w:val="FF0000"/>
          <w:sz w:val="22"/>
          <w:szCs w:val="22"/>
        </w:rPr>
        <w:t xml:space="preserve"> </w:t>
      </w:r>
      <w:r>
        <w:rPr>
          <w:sz w:val="22"/>
          <w:szCs w:val="22"/>
        </w:rPr>
        <w:t>if</w:t>
      </w:r>
      <w:r>
        <w:rPr>
          <w:sz w:val="22"/>
        </w:rPr>
        <w:t xml:space="preserve"> any Enron Party (the “Defaulting Enron Party”) fails or refuses to pay any Obligations, and any Counterparty Party (the “Non-Defaulting Counterparty Party”) has elected to exercise its rights under this Guaranty,  such Non-Defaulting Counterparty 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such Non-Defaulting Counterparty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  </w:t>
      </w:r>
      <w:r>
        <w:rPr>
          <w:sz w:val="22"/>
          <w:szCs w:val="22"/>
        </w:rPr>
        <w:t>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one or more Counterparty Parties with respect to Obligations owed under more than one Contract in excess of the Guarantee Cap, Guarantor’s total payment up to but not exceeding the Guarantee Cap,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Party is or may be entitled to arising from or out of the Contracts or otherwise, except for defenses arising out of the bankruptcy, insolvency, dissolution or liquidation of any Defaulting Enron 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_____________.</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Parties or any other person, or to require that any Counterparty Party seek enforcement of any performance against any Enron Party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____________ of such termination notice.  No such termination shall affect Guarantor’s liability with respect to any Transactions entered into prior to the time the termination is effective, which Transactions and the obligations of the Enron Parties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 Parties:</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the Counterparty parties and supersedes all prior agreements and understandings relating to the subject matter hereof, including, without limitation, the Prior Guaranty Agreements.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the Counterparty Parties, the Prior Guaranty Agreements shall become null and void and of no further force or effect.  Upon receipt of an originally executed copy of this Guaranty, ____________ agrees to promptly return the originals of the Prior Guaranty Agreements to Guarantor.  It is expressly acknowledged that this Guaranty is given in replacement and substitution of the Prior Guaranty Agreements and shall become operative only upon termination of the Prior Guaranty Agreements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rPr>
      </w:pPr>
      <w:r>
        <w:rPr>
          <w:sz w:val="22"/>
        </w:rPr>
        <w:t>[ADD COUNTERPARTY PARTIES]</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2001-10-29T15:25:00Z</dcterms:created>
  <dc:creator>tjones</dc:creator>
  <dc:description/>
  <dc:language>en-CA</dc:language>
  <cp:lastModifiedBy>cstclai</cp:lastModifiedBy>
  <cp:lastPrinted>2001-10-29T12:20:00Z</cp:lastPrinted>
  <dcterms:modified xsi:type="dcterms:W3CDTF">2001-10-29T15:50:00Z</dcterms:modified>
  <cp:revision>3</cp:revision>
  <dc:subject/>
  <dc:title>EXHIBIT A</dc:title>
</cp:coreProperties>
</file>