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2000, is made and entered into by and between Enron Corp., an Oregon corporation (“Guarantor”) and J. Aron &amp; Company, A New York general partnership (“Counterparty”).</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b w:val="false"/>
          <w:bCs/>
        </w:rPr>
      </w:pPr>
      <w:r>
        <w:rPr>
          <w:b w:val="false"/>
          <w:bCs/>
        </w:rPr>
        <w:t xml:space="preserve">WHEREAS, Counterparty and Enron North America Corp., a Delaware corporation and  a wholly owned subsidiary of Guarantor (“Enron”) have entered into and in the future are contemplating entering into one or more swap, option or other financially-settled derivative transactions, which transactions will be evidenced by the ISDA Master Agreement dated as of August 14, 1994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b/>
          <w:bCs/>
          <w:sz w:val="22"/>
        </w:rPr>
      </w:pPr>
      <w:r>
        <w:rPr>
          <w:b/>
          <w:bCs/>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whether now existing or hereafter arising.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start="720" w:end="0"/>
        <w:jc w:val="both"/>
        <w:rPr>
          <w:sz w:val="22"/>
        </w:rPr>
      </w:pPr>
      <w:r>
        <w:rPr>
          <w:sz w:val="22"/>
        </w:rPr>
        <w:t>(b)  The aggregate amount covered by this Guaranty shall not exceed U.S. $25,000,000 during the term of the Contract.</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A  demand for payment hereunder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pPr>
      <w:r>
        <w:rPr>
          <w:sz w:val="22"/>
        </w:rPr>
        <w:t xml:space="preserve">(a)  it is a corporation duly organized and validly existing under the laws of the State of </w:t>
      </w:r>
      <w:r>
        <w:rPr>
          <w:b/>
          <w:sz w:val="22"/>
        </w:rPr>
        <w:t>Oregon</w:t>
      </w:r>
      <w:r>
        <w:rPr>
          <w:sz w:val="22"/>
        </w:rPr>
        <w:t xml:space="preserve"> and has the corporate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assuming due authorization, execution and delivery hereof by Counterparty,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of Enron arising from or out of the Contract,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5.</w:t>
        <w:tab/>
      </w:r>
      <w:r>
        <w:rPr>
          <w:sz w:val="22"/>
          <w:u w:val="single"/>
        </w:rPr>
        <w:t>SUBROGATION.</w:t>
      </w:r>
      <w:r>
        <w:rPr>
          <w:sz w:val="22"/>
        </w:rPr>
        <w:t xml:space="preserve">  Guarantor waives its rights to be subrogated to the rights of Counterparty with respect to any Obligations paid or performed by Guarantor until Guarantor has fully and indefeasibly satisfied all of Guarantor’s obligations under this Guaranty.</w:t>
        <w:tab/>
        <w:t xml:space="preserve">  </w:t>
        <w:tab/>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AMENDMENT OF GUARANTY</w:t>
      </w:r>
      <w:r>
        <w:rPr>
          <w:sz w:val="22"/>
        </w:rPr>
        <w:t>.  No term or provision of this Guaranty shall be amended, modified, altered, waived or supplemented except in a writing signed by the parties hereto.</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bCs/>
          <w:sz w:val="22"/>
        </w:rPr>
        <w:t>Except as to applicable statutes of limitation, no</w:t>
      </w:r>
      <w:r>
        <w:rPr>
          <w:sz w:val="22"/>
        </w:rPr>
        <w:t xml:space="preserve"> delay of Counterparty in the exercise of, or failure to exercise, any rights hereunder, including, but not limited to, the failure of Counterparty to take any action of any kind in respect of any security for any obligation or liability of Enron to Counterparty,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BodyTextIndent2"/>
        <w:rPr/>
      </w:pPr>
      <w:r>
        <w:rPr/>
        <w:t>Guarantor may terminate this Guaranty by providing written notice of such termination to Counterparty.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  Guarantor further agrees that this Guaranty shall continue to be effective or be reinstated, as the case may be, if at any time payment or any part thereof, of any Obligation of Enron guaranteed hereunder is rescinded or must otherwise be restored or returned due to bankruptcy or insolvency laws.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BodyText"/>
        <w:rPr>
          <w:b w:val="false"/>
          <w:bCs/>
        </w:rPr>
      </w:pPr>
      <w:r>
        <w:rPr>
          <w:b w:val="false"/>
          <w:bCs/>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b/>
          <w:bCs/>
          <w:sz w:val="22"/>
        </w:rPr>
      </w:pPr>
      <w:r>
        <w:rPr>
          <w:b/>
          <w:bCs/>
          <w:sz w:val="22"/>
        </w:rPr>
      </w:r>
    </w:p>
    <w:p>
      <w:pPr>
        <w:pStyle w:val="BodyTextIndent2"/>
        <w:rPr>
          <w:bCs/>
        </w:rPr>
      </w:pPr>
      <w:r>
        <w:rPr>
          <w:bCs/>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bCs/>
          <w:sz w:val="22"/>
        </w:rPr>
      </w:pPr>
      <w:r>
        <w:rPr>
          <w:bCs/>
          <w:sz w:val="22"/>
        </w:rPr>
      </w:r>
    </w:p>
    <w:p>
      <w:pPr>
        <w:pStyle w:val="Normal"/>
        <w:spacing w:lineRule="atLeast" w:line="240"/>
        <w:ind w:firstLine="720" w:end="0"/>
        <w:jc w:val="both"/>
        <w:rPr/>
      </w:pPr>
      <w:r>
        <w:rPr>
          <w:bCs/>
          <w:sz w:val="22"/>
        </w:rPr>
        <w:t xml:space="preserve">9.  </w:t>
      </w:r>
      <w:r>
        <w:rPr>
          <w:bCs/>
          <w:sz w:val="22"/>
          <w:u w:val="single"/>
        </w:rPr>
        <w:t>MISCELLANEOUS</w:t>
      </w:r>
      <w:r>
        <w:rPr>
          <w:bCs/>
          <w:sz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including, without limitation, that certain Guaranty dated as of March 1, 1994 between Guarantor and Counterparty (the “Prior Guaranty”), which Prior Guaranty, upon the execution of this Guaranty, shall be terminated and of no further force and effect.  The headings in this Guaranty are for purposes of reference only, and shall not affect the meaning hereof.  This Guaranty may be executed in any number of counterparts, each of which shall be an original, but all of which together shall constitute one and the same instrument.</w:t>
      </w:r>
    </w:p>
    <w:p>
      <w:pPr>
        <w:pStyle w:val="Normal"/>
        <w:spacing w:lineRule="atLeast" w:line="240"/>
        <w:ind w:firstLine="720" w:end="0"/>
        <w:jc w:val="both"/>
        <w:rPr>
          <w:bCs/>
          <w:sz w:val="22"/>
        </w:rPr>
      </w:pPr>
      <w:r>
        <w:rPr>
          <w:bCs/>
          <w:sz w:val="22"/>
        </w:rPr>
      </w:r>
    </w:p>
    <w:p>
      <w:pPr>
        <w:pStyle w:val="Normal"/>
        <w:spacing w:lineRule="atLeast" w:line="240"/>
        <w:ind w:firstLine="720" w:end="0"/>
        <w:jc w:val="both"/>
        <w:rPr/>
      </w:pPr>
      <w:r>
        <w:rPr>
          <w:bCs/>
          <w:sz w:val="22"/>
        </w:rPr>
        <w:t xml:space="preserve">IN WITNESS WHEREOF, the Guarantor has executed this Guaranty on </w:t>
        <w:tab/>
      </w:r>
      <w:r>
        <w:rPr>
          <w:bCs/>
          <w:sz w:val="22"/>
          <w:u w:val="single"/>
        </w:rPr>
        <w:tab/>
      </w:r>
      <w:r>
        <w:rPr>
          <w:bCs/>
          <w:sz w:val="22"/>
        </w:rPr>
        <w:t>, 2000, but it is effective as of the date first above written.</w:t>
      </w:r>
    </w:p>
    <w:p>
      <w:pPr>
        <w:pStyle w:val="Normal"/>
        <w:spacing w:lineRule="atLeast" w:line="240"/>
        <w:ind w:firstLine="720" w:end="0"/>
        <w:jc w:val="both"/>
        <w:rPr>
          <w:bCs/>
          <w:sz w:val="22"/>
        </w:rPr>
      </w:pPr>
      <w:r>
        <w:rPr>
          <w:bCs/>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spacing w:lineRule="atLeast" w:line="240"/>
        <w:ind w:start="5040" w:end="0"/>
        <w:jc w:val="both"/>
        <w:rPr>
          <w:b/>
          <w:sz w:val="22"/>
        </w:rPr>
      </w:pPr>
      <w:r>
        <w:rPr>
          <w:b/>
          <w:sz w:val="22"/>
        </w:rPr>
        <w:t>J. ARON &amp; COMPANY</w:t>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BodyTextIndent">
    <w:name w:val="Body Text Indent"/>
    <w:basedOn w:val="Normal"/>
    <w:pPr>
      <w:spacing w:lineRule="atLeast" w:line="240"/>
      <w:ind w:firstLine="720" w:start="0" w:end="0"/>
      <w:jc w:val="both"/>
    </w:pPr>
    <w:rPr>
      <w:b/>
      <w:sz w:val="22"/>
    </w:rPr>
  </w:style>
  <w:style w:type="paragraph" w:styleId="BodyTextIndent2">
    <w:name w:val="Body Text Indent 2"/>
    <w:basedOn w:val="Normal"/>
    <w:qFormat/>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2000-05-11T14:36:00Z</dcterms:created>
  <dc:creator>tjones</dc:creator>
  <dc:description/>
  <dc:language>en-CA</dc:language>
  <cp:lastModifiedBy>cstclai</cp:lastModifiedBy>
  <cp:lastPrinted>2000-05-11T12:04:00Z</cp:lastPrinted>
  <dcterms:modified xsi:type="dcterms:W3CDTF">2000-05-11T14:36:00Z</dcterms:modified>
  <cp:revision>2</cp:revision>
  <dc:subject/>
  <dc:title>EXHIBIT A</dc:title>
</cp:coreProperties>
</file>