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4"/>
          <w:szCs w:val="22"/>
        </w:rPr>
      </w:pPr>
      <w:r>
        <w:rPr>
          <w:b/>
          <w:bCs/>
          <w:sz w:val="24"/>
          <w:szCs w:val="22"/>
        </w:rPr>
        <w:t>ENRON CORP.</w:t>
      </w:r>
    </w:p>
    <w:p>
      <w:pPr>
        <w:pStyle w:val="Normal"/>
        <w:spacing w:lineRule="exact" w:line="240"/>
        <w:ind w:end="180"/>
        <w:jc w:val="center"/>
        <w:rPr>
          <w:b/>
          <w:bCs/>
          <w:sz w:val="24"/>
          <w:szCs w:val="22"/>
          <w:u w:val="single"/>
        </w:rPr>
      </w:pPr>
      <w:r>
        <w:rPr>
          <w:b/>
          <w:bCs/>
          <w:sz w:val="24"/>
          <w:szCs w:val="22"/>
          <w:u w:val="single"/>
        </w:rPr>
      </w:r>
    </w:p>
    <w:p>
      <w:pPr>
        <w:pStyle w:val="Normal"/>
        <w:spacing w:lineRule="exact" w:line="240"/>
        <w:ind w:end="180"/>
        <w:jc w:val="center"/>
        <w:rPr>
          <w:sz w:val="24"/>
          <w:szCs w:val="22"/>
        </w:rPr>
      </w:pPr>
      <w:r>
        <w:rPr>
          <w:sz w:val="24"/>
          <w:szCs w:val="22"/>
          <w:u w:val="single"/>
        </w:rPr>
        <w:t>Guaranty</w:t>
      </w:r>
    </w:p>
    <w:p>
      <w:pPr>
        <w:pStyle w:val="Normal"/>
        <w:spacing w:lineRule="exact" w:line="480"/>
        <w:jc w:val="both"/>
        <w:rPr>
          <w:sz w:val="24"/>
          <w:szCs w:val="22"/>
        </w:rPr>
      </w:pPr>
      <w:r>
        <w:rPr>
          <w:sz w:val="24"/>
          <w:szCs w:val="22"/>
        </w:rPr>
      </w:r>
    </w:p>
    <w:p>
      <w:pPr>
        <w:pStyle w:val="Normal"/>
        <w:spacing w:lineRule="atLeast" w:line="240"/>
        <w:ind w:firstLine="720" w:end="0"/>
        <w:jc w:val="both"/>
        <w:rPr/>
      </w:pPr>
      <w:r>
        <w:rPr>
          <w:sz w:val="24"/>
          <w:szCs w:val="22"/>
        </w:rPr>
        <w:t xml:space="preserve">This Guaranty (this “Guaranty”), dated effective as of June 29, 2001 (the “Effective Date”), is made and entered into by </w:t>
      </w:r>
      <w:r>
        <w:rPr>
          <w:caps/>
          <w:sz w:val="24"/>
          <w:szCs w:val="22"/>
        </w:rPr>
        <w:t>Enron Corp.</w:t>
      </w:r>
      <w:r>
        <w:rPr>
          <w:sz w:val="24"/>
          <w:szCs w:val="22"/>
        </w:rPr>
        <w:t>, an Oregon corporation (“Guarantor”).</w:t>
      </w:r>
    </w:p>
    <w:p>
      <w:pPr>
        <w:pStyle w:val="Normal"/>
        <w:keepNext w:val="true"/>
        <w:spacing w:lineRule="exact" w:line="240" w:before="480" w:after="0"/>
        <w:jc w:val="center"/>
        <w:rPr>
          <w:b/>
          <w:bCs/>
          <w:caps/>
          <w:sz w:val="24"/>
          <w:szCs w:val="22"/>
        </w:rPr>
      </w:pPr>
      <w:r>
        <w:rPr>
          <w:b/>
          <w:bCs/>
          <w:caps/>
          <w:sz w:val="24"/>
          <w:szCs w:val="22"/>
        </w:rPr>
        <w:t>W I T N E S S E T H:</w:t>
      </w:r>
    </w:p>
    <w:p>
      <w:pPr>
        <w:pStyle w:val="Normal"/>
        <w:spacing w:lineRule="atLeast" w:line="240"/>
        <w:jc w:val="both"/>
        <w:rPr>
          <w:b/>
          <w:bCs/>
          <w:caps/>
          <w:sz w:val="24"/>
          <w:szCs w:val="22"/>
        </w:rPr>
      </w:pPr>
      <w:r>
        <w:rPr>
          <w:b/>
          <w:bCs/>
          <w:caps/>
          <w:sz w:val="24"/>
          <w:szCs w:val="22"/>
        </w:rPr>
      </w:r>
    </w:p>
    <w:p>
      <w:pPr>
        <w:pStyle w:val="Normal"/>
        <w:spacing w:lineRule="atLeast" w:line="240"/>
        <w:ind w:firstLine="720" w:end="0"/>
        <w:jc w:val="both"/>
        <w:rPr>
          <w:sz w:val="24"/>
          <w:szCs w:val="22"/>
        </w:rPr>
      </w:pPr>
      <w:r>
        <w:rPr>
          <w:sz w:val="24"/>
          <w:szCs w:val="22"/>
        </w:rPr>
        <w:t xml:space="preserve">WHEREAS, NRG Power Marketing, Inc., a Delaware corporation (“Counterparty”), and ENRON POWER MARKETING, INC. (“Enron”), a wholly owned subsidiary of Guarantor, are contemplating entering into, or have entered into, one or more power (including electrical energy capacity and/or products and services related thereto) transactions, which transactions will be evidenced by one or more purchase and sale agreements, confirmations and/or master agreements, including without limitation, the Master Power Purchase and Sale Agreement dated as of the Effective Date (the “Master Agreement”) (all such power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t>WHEREAS, Guarantor will directly or indirectly benefit from the transactions to be entered into between Enron and Counterparty;</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t>WHEREAS, Guarantor has entered into that certain Guarantee Agreement dated March 27, 2000, for the benefit of Counterparty and in connection with certain financial and physical commodity transactions entered into by Counterparty and affiliates of Guarantor (the 2000 Guaranty); and</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t xml:space="preserve">WHEREAS Guarantor had issued and delivered to Counterparty an an original signature counterpart of a certain Guaranty dated effective June 29, 2001 in favor of Counterparty in form substantially similar to this Guaranty but lacking, among other things, this “Whereas” recital, in connection with certain physical power commodity transactions entered into by Counterparty and Enron (the 2001 Guaranty); and </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t>WHEREAS, Guarantor has agreed to enter into this Guaranty to replace a portion of the 2000 Guaranty (an amendment of which is delivered to Counterparty and ENA contemporaneously herewith) and to supersede and cancel all of the 2001 Guaranty;</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t>NOW THEREFORE, in consideration of Counterparty entering into the Contract, Guarantor hereby covenants and agrees as follows:</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pPr>
      <w:r>
        <w:rPr>
          <w:sz w:val="24"/>
          <w:szCs w:val="22"/>
        </w:rPr>
        <w:t xml:space="preserve">1.  </w:t>
      </w:r>
      <w:r>
        <w:rPr>
          <w:sz w:val="24"/>
          <w:szCs w:val="22"/>
          <w:u w:val="single"/>
        </w:rPr>
        <w:t>GUARANTY</w:t>
      </w:r>
      <w:r>
        <w:rPr>
          <w:sz w:val="24"/>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sz w:val="24"/>
        </w:rPr>
      </w:pPr>
      <w:r>
        <w:rPr>
          <w:sz w:val="24"/>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4"/>
        </w:rPr>
      </w:pPr>
      <w:r>
        <w:rPr>
          <w:sz w:val="24"/>
        </w:rPr>
        <w:t>(b)  The aggregate amount covered by this Guaranty shall not exceed U.S. $55,000,000.</w:t>
      </w:r>
    </w:p>
    <w:p>
      <w:pPr>
        <w:pStyle w:val="Normal"/>
        <w:spacing w:lineRule="atLeast" w:line="240"/>
        <w:jc w:val="both"/>
        <w:rPr>
          <w:sz w:val="24"/>
          <w:szCs w:val="22"/>
        </w:rPr>
      </w:pPr>
      <w:r>
        <w:rPr>
          <w:sz w:val="24"/>
          <w:szCs w:val="22"/>
        </w:rPr>
      </w:r>
    </w:p>
    <w:p>
      <w:pPr>
        <w:pStyle w:val="Normal"/>
        <w:spacing w:lineRule="atLeast" w:line="240"/>
        <w:ind w:firstLine="720" w:end="0"/>
        <w:jc w:val="both"/>
        <w:rPr/>
      </w:pPr>
      <w:r>
        <w:rPr>
          <w:sz w:val="24"/>
          <w:szCs w:val="22"/>
        </w:rPr>
        <w:t xml:space="preserve">2.  </w:t>
      </w:r>
      <w:r>
        <w:rPr>
          <w:sz w:val="24"/>
          <w:szCs w:val="22"/>
          <w:u w:val="single"/>
        </w:rPr>
        <w:t>DEMANDS AND NOTICE</w:t>
      </w:r>
      <w:r>
        <w:rPr>
          <w:sz w:val="24"/>
          <w:szCs w:val="22"/>
        </w:rPr>
        <w: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4"/>
          <w:szCs w:val="22"/>
        </w:rPr>
      </w:pPr>
      <w:r>
        <w:rPr>
          <w:sz w:val="24"/>
          <w:szCs w:val="22"/>
        </w:rPr>
      </w:r>
    </w:p>
    <w:p>
      <w:pPr>
        <w:pStyle w:val="Normal"/>
        <w:keepNext w:val="true"/>
        <w:spacing w:lineRule="atLeast" w:line="240"/>
        <w:ind w:firstLine="720" w:end="0"/>
        <w:jc w:val="both"/>
        <w:rPr/>
      </w:pPr>
      <w:r>
        <w:rPr>
          <w:sz w:val="24"/>
          <w:szCs w:val="22"/>
        </w:rPr>
        <w:t xml:space="preserve">3.  </w:t>
      </w:r>
      <w:r>
        <w:rPr>
          <w:sz w:val="24"/>
          <w:szCs w:val="22"/>
          <w:u w:val="single"/>
        </w:rPr>
        <w:t>REPRESENTATIONS AND WARRANTIES</w:t>
      </w:r>
      <w:r>
        <w:rPr>
          <w:sz w:val="24"/>
          <w:szCs w:val="22"/>
        </w:rPr>
        <w:t>.  Guarantor represents and warrants that:</w:t>
      </w:r>
    </w:p>
    <w:p>
      <w:pPr>
        <w:pStyle w:val="Normal"/>
        <w:keepNext w:val="true"/>
        <w:spacing w:lineRule="exact" w:line="240" w:before="240" w:after="0"/>
        <w:ind w:firstLine="630" w:start="810" w:end="0"/>
        <w:jc w:val="both"/>
        <w:rPr>
          <w:sz w:val="24"/>
          <w:szCs w:val="22"/>
        </w:rPr>
      </w:pPr>
      <w:r>
        <w:rPr>
          <w:sz w:val="24"/>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4"/>
          <w:szCs w:val="22"/>
        </w:rPr>
      </w:pPr>
      <w:r>
        <w:rPr>
          <w:sz w:val="24"/>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4"/>
          <w:szCs w:val="22"/>
        </w:rPr>
      </w:pPr>
      <w:r>
        <w:rPr>
          <w:sz w:val="24"/>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4"/>
          <w:szCs w:val="22"/>
        </w:rPr>
      </w:pPr>
      <w:r>
        <w:rPr>
          <w:sz w:val="24"/>
          <w:szCs w:val="22"/>
        </w:rPr>
      </w:r>
    </w:p>
    <w:p>
      <w:pPr>
        <w:pStyle w:val="Normal"/>
        <w:spacing w:lineRule="atLeast" w:line="240"/>
        <w:ind w:firstLine="720" w:end="0"/>
        <w:jc w:val="both"/>
        <w:rPr/>
      </w:pPr>
      <w:r>
        <w:rPr>
          <w:sz w:val="24"/>
          <w:szCs w:val="22"/>
        </w:rPr>
        <w:t xml:space="preserve">4.  </w:t>
      </w:r>
      <w:r>
        <w:rPr>
          <w:sz w:val="24"/>
          <w:szCs w:val="22"/>
          <w:u w:val="single"/>
        </w:rPr>
        <w:t>SETOFFS AND COUNTERCLAIMS</w:t>
      </w:r>
      <w:r>
        <w:rPr>
          <w:sz w:val="24"/>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pPr>
      <w:r>
        <w:rPr>
          <w:sz w:val="24"/>
          <w:szCs w:val="22"/>
        </w:rPr>
        <w:t xml:space="preserve">5.  </w:t>
      </w:r>
      <w:r>
        <w:rPr>
          <w:sz w:val="24"/>
          <w:szCs w:val="22"/>
          <w:u w:val="single"/>
        </w:rPr>
        <w:t>AMENDMENT OF GUARANTY</w:t>
      </w:r>
      <w:r>
        <w:rPr>
          <w:sz w:val="24"/>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pPr>
      <w:r>
        <w:rPr>
          <w:sz w:val="24"/>
          <w:szCs w:val="22"/>
        </w:rPr>
        <w:t xml:space="preserve">6.  </w:t>
      </w:r>
      <w:r>
        <w:rPr>
          <w:sz w:val="24"/>
          <w:szCs w:val="22"/>
          <w:u w:val="single"/>
        </w:rPr>
        <w:t>WAIVERS</w:t>
      </w:r>
      <w:r>
        <w:rPr>
          <w:sz w:val="24"/>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pPr>
      <w:r>
        <w:rPr>
          <w:sz w:val="24"/>
          <w:szCs w:val="22"/>
        </w:rPr>
        <w:t xml:space="preserve">7.  </w:t>
      </w:r>
      <w:r>
        <w:rPr>
          <w:sz w:val="24"/>
          <w:szCs w:val="22"/>
          <w:u w:val="single"/>
        </w:rPr>
        <w:t>NOTICE</w:t>
      </w:r>
      <w:r>
        <w:rPr>
          <w:sz w:val="24"/>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4"/>
          <w:szCs w:val="22"/>
        </w:rPr>
      </w:pPr>
      <w:r>
        <w:rPr>
          <w:sz w:val="24"/>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4"/>
                <w:szCs w:val="22"/>
              </w:rPr>
            </w:pPr>
            <w:r>
              <w:rPr>
                <w:color w:val="000000"/>
                <w:sz w:val="24"/>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4"/>
                <w:szCs w:val="22"/>
              </w:rPr>
            </w:pPr>
            <w:r>
              <w:rPr>
                <w:color w:val="000000"/>
                <w:sz w:val="24"/>
                <w:szCs w:val="22"/>
              </w:rPr>
              <w:t>NRG Power Marketing, Inc.</w:t>
            </w:r>
          </w:p>
        </w:tc>
        <w:tc>
          <w:tcPr>
            <w:tcW w:w="1530" w:type="dxa"/>
            <w:tcBorders/>
          </w:tcPr>
          <w:p>
            <w:pPr>
              <w:pStyle w:val="Normal"/>
              <w:keepNext w:val="true"/>
              <w:keepLines/>
              <w:spacing w:lineRule="atLeast" w:line="240"/>
              <w:rPr>
                <w:color w:val="000000"/>
                <w:sz w:val="24"/>
                <w:szCs w:val="22"/>
              </w:rPr>
            </w:pPr>
            <w:r>
              <w:rPr>
                <w:color w:val="000000"/>
                <w:sz w:val="24"/>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4"/>
                <w:szCs w:val="22"/>
              </w:rPr>
            </w:pPr>
            <w:r>
              <w:rPr>
                <w:color w:val="000000"/>
                <w:sz w:val="24"/>
                <w:szCs w:val="22"/>
              </w:rPr>
              <w:t>Enron Corp.</w:t>
            </w:r>
          </w:p>
        </w:tc>
      </w:tr>
      <w:tr>
        <w:trPr/>
        <w:tc>
          <w:tcPr>
            <w:tcW w:w="1908" w:type="dxa"/>
            <w:tcBorders/>
          </w:tcPr>
          <w:p>
            <w:pPr>
              <w:pStyle w:val="Normal"/>
              <w:keepNext w:val="true"/>
              <w:keepLines/>
              <w:snapToGrid w:val="false"/>
              <w:spacing w:lineRule="atLeast" w:line="240"/>
              <w:rPr>
                <w:color w:val="000000"/>
                <w:sz w:val="24"/>
                <w:szCs w:val="22"/>
              </w:rPr>
            </w:pPr>
            <w:r>
              <w:rPr>
                <w:color w:val="000000"/>
                <w:sz w:val="24"/>
                <w:szCs w:val="22"/>
              </w:rPr>
            </w:r>
          </w:p>
        </w:tc>
        <w:tc>
          <w:tcPr>
            <w:tcW w:w="3330" w:type="dxa"/>
            <w:tcBorders/>
          </w:tcPr>
          <w:p>
            <w:pPr>
              <w:pStyle w:val="Normal"/>
              <w:keepNext w:val="true"/>
              <w:keepLines/>
              <w:tabs>
                <w:tab w:val="clear" w:pos="720"/>
                <w:tab w:val="left" w:pos="3132" w:leader="none"/>
              </w:tabs>
              <w:spacing w:lineRule="atLeast" w:line="240"/>
              <w:rPr>
                <w:color w:val="000000"/>
                <w:sz w:val="24"/>
                <w:szCs w:val="22"/>
              </w:rPr>
            </w:pPr>
            <w:r>
              <w:rPr>
                <w:color w:val="000000"/>
                <w:sz w:val="24"/>
                <w:szCs w:val="22"/>
              </w:rPr>
              <w:t>901 Marquette Avenue, Ste. 2300</w:t>
            </w:r>
          </w:p>
        </w:tc>
        <w:tc>
          <w:tcPr>
            <w:tcW w:w="1530" w:type="dxa"/>
            <w:tcBorders/>
          </w:tcPr>
          <w:p>
            <w:pPr>
              <w:pStyle w:val="Normal"/>
              <w:keepNext w:val="true"/>
              <w:keepLines/>
              <w:snapToGrid w:val="false"/>
              <w:spacing w:lineRule="atLeast" w:line="240"/>
              <w:rPr>
                <w:color w:val="000000"/>
                <w:sz w:val="24"/>
                <w:szCs w:val="22"/>
              </w:rPr>
            </w:pPr>
            <w:r>
              <w:rPr>
                <w:color w:val="000000"/>
                <w:sz w:val="24"/>
                <w:szCs w:val="22"/>
              </w:rPr>
            </w:r>
          </w:p>
        </w:tc>
        <w:tc>
          <w:tcPr>
            <w:tcW w:w="3420" w:type="dxa"/>
            <w:tcBorders/>
          </w:tcPr>
          <w:p>
            <w:pPr>
              <w:pStyle w:val="Normal"/>
              <w:keepNext w:val="true"/>
              <w:keepLines/>
              <w:tabs>
                <w:tab w:val="clear" w:pos="720"/>
                <w:tab w:val="right" w:pos="2988" w:leader="none"/>
              </w:tabs>
              <w:spacing w:lineRule="atLeast" w:line="240"/>
              <w:rPr>
                <w:color w:val="000000"/>
                <w:sz w:val="24"/>
                <w:szCs w:val="22"/>
              </w:rPr>
            </w:pPr>
            <w:r>
              <w:rPr>
                <w:color w:val="000000"/>
                <w:sz w:val="24"/>
                <w:szCs w:val="22"/>
              </w:rPr>
              <w:t>1400 Smith Street</w:t>
            </w:r>
          </w:p>
        </w:tc>
      </w:tr>
      <w:tr>
        <w:trPr/>
        <w:tc>
          <w:tcPr>
            <w:tcW w:w="1908" w:type="dxa"/>
            <w:tcBorders/>
          </w:tcPr>
          <w:p>
            <w:pPr>
              <w:pStyle w:val="Normal"/>
              <w:keepNext w:val="true"/>
              <w:keepLines/>
              <w:snapToGrid w:val="false"/>
              <w:spacing w:lineRule="atLeast" w:line="240"/>
              <w:rPr>
                <w:color w:val="000000"/>
                <w:sz w:val="24"/>
                <w:szCs w:val="22"/>
              </w:rPr>
            </w:pPr>
            <w:r>
              <w:rPr>
                <w:color w:val="000000"/>
                <w:sz w:val="24"/>
                <w:szCs w:val="22"/>
              </w:rPr>
            </w:r>
          </w:p>
        </w:tc>
        <w:tc>
          <w:tcPr>
            <w:tcW w:w="3330" w:type="dxa"/>
            <w:tcBorders/>
          </w:tcPr>
          <w:p>
            <w:pPr>
              <w:pStyle w:val="Normal"/>
              <w:keepNext w:val="true"/>
              <w:keepLines/>
              <w:tabs>
                <w:tab w:val="clear" w:pos="720"/>
                <w:tab w:val="left" w:pos="3132" w:leader="none"/>
              </w:tabs>
              <w:spacing w:lineRule="atLeast" w:line="240"/>
              <w:rPr>
                <w:color w:val="000000"/>
                <w:sz w:val="24"/>
                <w:szCs w:val="22"/>
              </w:rPr>
            </w:pPr>
            <w:r>
              <w:rPr>
                <w:color w:val="000000"/>
                <w:sz w:val="24"/>
                <w:szCs w:val="22"/>
              </w:rPr>
              <w:t>Minneapolis, MN  55403-3256</w:t>
            </w:r>
          </w:p>
        </w:tc>
        <w:tc>
          <w:tcPr>
            <w:tcW w:w="1530" w:type="dxa"/>
            <w:tcBorders/>
          </w:tcPr>
          <w:p>
            <w:pPr>
              <w:pStyle w:val="Normal"/>
              <w:keepNext w:val="true"/>
              <w:keepLines/>
              <w:snapToGrid w:val="false"/>
              <w:spacing w:lineRule="atLeast" w:line="240"/>
              <w:rPr>
                <w:color w:val="000000"/>
                <w:sz w:val="24"/>
                <w:szCs w:val="22"/>
              </w:rPr>
            </w:pPr>
            <w:r>
              <w:rPr>
                <w:color w:val="000000"/>
                <w:sz w:val="24"/>
                <w:szCs w:val="22"/>
              </w:rPr>
            </w:r>
          </w:p>
        </w:tc>
        <w:tc>
          <w:tcPr>
            <w:tcW w:w="3420" w:type="dxa"/>
            <w:tcBorders/>
          </w:tcPr>
          <w:p>
            <w:pPr>
              <w:pStyle w:val="Normal"/>
              <w:keepNext w:val="true"/>
              <w:keepLines/>
              <w:tabs>
                <w:tab w:val="clear" w:pos="720"/>
                <w:tab w:val="right" w:pos="2988" w:leader="none"/>
              </w:tabs>
              <w:spacing w:lineRule="atLeast" w:line="240"/>
              <w:rPr>
                <w:color w:val="000000"/>
                <w:sz w:val="24"/>
                <w:szCs w:val="22"/>
              </w:rPr>
            </w:pPr>
            <w:r>
              <w:rPr>
                <w:color w:val="000000"/>
                <w:sz w:val="24"/>
                <w:szCs w:val="22"/>
              </w:rPr>
              <w:t>Houston, Texas 77002</w:t>
            </w:r>
          </w:p>
        </w:tc>
      </w:tr>
      <w:tr>
        <w:trPr/>
        <w:tc>
          <w:tcPr>
            <w:tcW w:w="1908" w:type="dxa"/>
            <w:tcBorders/>
          </w:tcPr>
          <w:p>
            <w:pPr>
              <w:pStyle w:val="Normal"/>
              <w:keepNext w:val="true"/>
              <w:keepLines/>
              <w:snapToGrid w:val="false"/>
              <w:spacing w:lineRule="atLeast" w:line="240"/>
              <w:rPr>
                <w:color w:val="000000"/>
                <w:sz w:val="24"/>
                <w:szCs w:val="22"/>
              </w:rPr>
            </w:pPr>
            <w:r>
              <w:rPr>
                <w:color w:val="000000"/>
                <w:sz w:val="24"/>
                <w:szCs w:val="22"/>
              </w:rPr>
            </w:r>
          </w:p>
        </w:tc>
        <w:tc>
          <w:tcPr>
            <w:tcW w:w="3330" w:type="dxa"/>
            <w:tcBorders/>
          </w:tcPr>
          <w:p>
            <w:pPr>
              <w:pStyle w:val="Normal"/>
              <w:keepNext w:val="true"/>
              <w:keepLines/>
              <w:tabs>
                <w:tab w:val="clear" w:pos="720"/>
                <w:tab w:val="left" w:pos="3132" w:leader="none"/>
              </w:tabs>
              <w:spacing w:lineRule="atLeast" w:line="240"/>
              <w:rPr>
                <w:color w:val="000000"/>
                <w:sz w:val="24"/>
                <w:szCs w:val="22"/>
              </w:rPr>
            </w:pPr>
            <w:r>
              <w:rPr>
                <w:color w:val="000000"/>
                <w:sz w:val="24"/>
                <w:szCs w:val="22"/>
              </w:rPr>
              <w:t>Attn.:  Bill Stone</w:t>
            </w:r>
          </w:p>
        </w:tc>
        <w:tc>
          <w:tcPr>
            <w:tcW w:w="1530" w:type="dxa"/>
            <w:tcBorders/>
          </w:tcPr>
          <w:p>
            <w:pPr>
              <w:pStyle w:val="Normal"/>
              <w:keepNext w:val="true"/>
              <w:keepLines/>
              <w:snapToGrid w:val="false"/>
              <w:spacing w:lineRule="atLeast" w:line="240"/>
              <w:rPr>
                <w:color w:val="000000"/>
                <w:sz w:val="24"/>
                <w:szCs w:val="22"/>
              </w:rPr>
            </w:pPr>
            <w:r>
              <w:rPr>
                <w:color w:val="000000"/>
                <w:sz w:val="24"/>
                <w:szCs w:val="22"/>
              </w:rPr>
            </w:r>
          </w:p>
        </w:tc>
        <w:tc>
          <w:tcPr>
            <w:tcW w:w="3420" w:type="dxa"/>
            <w:tcBorders/>
          </w:tcPr>
          <w:p>
            <w:pPr>
              <w:pStyle w:val="Normal"/>
              <w:keepNext w:val="true"/>
              <w:keepLines/>
              <w:tabs>
                <w:tab w:val="clear" w:pos="720"/>
                <w:tab w:val="right" w:pos="2988" w:leader="none"/>
              </w:tabs>
              <w:spacing w:lineRule="atLeast" w:line="240"/>
              <w:rPr>
                <w:color w:val="000000"/>
                <w:sz w:val="24"/>
                <w:szCs w:val="22"/>
              </w:rPr>
            </w:pPr>
            <w:r>
              <w:rPr>
                <w:color w:val="000000"/>
                <w:sz w:val="24"/>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4"/>
                <w:szCs w:val="22"/>
              </w:rPr>
            </w:pPr>
            <w:r>
              <w:rPr>
                <w:color w:val="000000"/>
                <w:sz w:val="24"/>
                <w:szCs w:val="22"/>
              </w:rPr>
            </w:r>
          </w:p>
        </w:tc>
        <w:tc>
          <w:tcPr>
            <w:tcW w:w="3330" w:type="dxa"/>
            <w:tcBorders/>
          </w:tcPr>
          <w:p>
            <w:pPr>
              <w:pStyle w:val="Normal"/>
              <w:keepNext w:val="true"/>
              <w:keepLines/>
              <w:tabs>
                <w:tab w:val="clear" w:pos="720"/>
                <w:tab w:val="left" w:pos="3132" w:leader="none"/>
              </w:tabs>
              <w:spacing w:lineRule="atLeast" w:line="240"/>
              <w:rPr>
                <w:color w:val="000000"/>
                <w:sz w:val="24"/>
                <w:szCs w:val="22"/>
              </w:rPr>
            </w:pPr>
            <w:r>
              <w:rPr>
                <w:color w:val="000000"/>
                <w:sz w:val="24"/>
                <w:szCs w:val="22"/>
              </w:rPr>
              <w:t>Fax No.:  612-373-8687</w:t>
            </w:r>
          </w:p>
        </w:tc>
        <w:tc>
          <w:tcPr>
            <w:tcW w:w="1530" w:type="dxa"/>
            <w:tcBorders/>
          </w:tcPr>
          <w:p>
            <w:pPr>
              <w:pStyle w:val="Normal"/>
              <w:keepNext w:val="true"/>
              <w:keepLines/>
              <w:snapToGrid w:val="false"/>
              <w:spacing w:lineRule="atLeast" w:line="240"/>
              <w:rPr>
                <w:color w:val="000000"/>
                <w:sz w:val="24"/>
                <w:szCs w:val="22"/>
              </w:rPr>
            </w:pPr>
            <w:r>
              <w:rPr>
                <w:color w:val="000000"/>
                <w:sz w:val="24"/>
                <w:szCs w:val="22"/>
              </w:rPr>
            </w:r>
          </w:p>
        </w:tc>
        <w:tc>
          <w:tcPr>
            <w:tcW w:w="3420" w:type="dxa"/>
            <w:tcBorders/>
          </w:tcPr>
          <w:p>
            <w:pPr>
              <w:pStyle w:val="Normal"/>
              <w:keepNext w:val="true"/>
              <w:keepLines/>
              <w:tabs>
                <w:tab w:val="clear" w:pos="720"/>
                <w:tab w:val="right" w:pos="2988" w:leader="none"/>
              </w:tabs>
              <w:spacing w:lineRule="atLeast" w:line="240"/>
              <w:rPr>
                <w:color w:val="000000"/>
                <w:sz w:val="24"/>
                <w:szCs w:val="22"/>
              </w:rPr>
            </w:pPr>
            <w:r>
              <w:rPr>
                <w:color w:val="000000"/>
                <w:sz w:val="24"/>
                <w:szCs w:val="22"/>
              </w:rPr>
              <w:t>Fax No.:  (713) 646-3422</w:t>
            </w:r>
          </w:p>
        </w:tc>
      </w:tr>
    </w:tbl>
    <w:p>
      <w:pPr>
        <w:pStyle w:val="Normal"/>
        <w:tabs>
          <w:tab w:val="clear" w:pos="720"/>
          <w:tab w:val="left" w:pos="2880" w:leader="none"/>
          <w:tab w:val="left" w:pos="6480" w:leader="none"/>
        </w:tabs>
        <w:spacing w:lineRule="exact" w:line="240"/>
        <w:ind w:start="720" w:end="0"/>
        <w:jc w:val="both"/>
        <w:rPr>
          <w:sz w:val="24"/>
          <w:szCs w:val="22"/>
        </w:rPr>
      </w:pPr>
      <w:r>
        <w:rPr>
          <w:sz w:val="24"/>
          <w:szCs w:val="22"/>
        </w:rPr>
      </w:r>
    </w:p>
    <w:p>
      <w:pPr>
        <w:pStyle w:val="Normal"/>
        <w:spacing w:lineRule="atLeast" w:line="240"/>
        <w:jc w:val="both"/>
        <w:rPr>
          <w:sz w:val="24"/>
          <w:szCs w:val="22"/>
        </w:rPr>
      </w:pPr>
      <w:r>
        <w:rPr>
          <w:sz w:val="24"/>
          <w:szCs w:val="22"/>
        </w:rPr>
        <w:t>A copy of any Notice sent to Guarantor pursuant hereto must also be sent to the above address to:  (i) Enron Corp., Attention: Corporate Secretary, Fax No. (713) 853-2534, and (ii) Enron Power Marketing, Inc., Attention:  Assistant General Counsel, Trading Group, Fax No. (713) 646-3491.</w:t>
      </w:r>
    </w:p>
    <w:p>
      <w:pPr>
        <w:pStyle w:val="Normal"/>
        <w:spacing w:lineRule="exact" w:line="240"/>
        <w:ind w:start="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pPr>
      <w:r>
        <w:rPr>
          <w:sz w:val="24"/>
          <w:szCs w:val="22"/>
        </w:rPr>
        <w:t xml:space="preserve">8.  </w:t>
      </w:r>
      <w:r>
        <w:rPr>
          <w:sz w:val="24"/>
          <w:szCs w:val="22"/>
          <w:u w:val="single"/>
        </w:rPr>
        <w:t>MISCELLANEOUS</w:t>
      </w:r>
      <w:r>
        <w:rPr>
          <w:sz w:val="24"/>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pPr>
      <w:r>
        <w:rPr>
          <w:sz w:val="24"/>
          <w:szCs w:val="22"/>
        </w:rPr>
        <w:t xml:space="preserve">9.  </w:t>
      </w:r>
      <w:r>
        <w:rPr>
          <w:sz w:val="24"/>
          <w:szCs w:val="22"/>
          <w:u w:val="single"/>
        </w:rPr>
        <w:t>2000 GUARANTY TERMINATED AS TO ENRON POWER MARKETING AND AS TO ELECTRIC ENERGY AND RELATED PRODUCTS</w:t>
      </w:r>
      <w:r>
        <w:rPr>
          <w:sz w:val="24"/>
          <w:szCs w:val="22"/>
        </w:rPr>
        <w:t>.  Upon execution and delivery of this Guaranty by Guarantor and effective from and after the Effective Date, the 2000 Guaranty shall become null and void and of no further force or effect as to the following: (i) “any agreements for the purchase and sale of electric energy, capacity and/or related services and products”; and (ii) any “Obligations” with respect to Enron Power Marketing, Inc.  It is expressly acknowledged that this Guaranty is given in replacement of and substitution for such specific referenced obligations under the 2000 Guaranty and shall become operative only upon partial termination of the 2000 Guaranty as set forth in this Paragraph 9.  A copy of the 2000 Guaranty as partially terminated and amended is attached hereto as Exhibit A and receipt thereof is acknowledged by Counterparty by its signature below.</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pPr>
      <w:r>
        <w:rPr>
          <w:sz w:val="24"/>
          <w:szCs w:val="22"/>
        </w:rPr>
        <w:t xml:space="preserve">10.  </w:t>
      </w:r>
      <w:r>
        <w:rPr>
          <w:sz w:val="24"/>
          <w:szCs w:val="22"/>
          <w:u w:val="single"/>
        </w:rPr>
        <w:t xml:space="preserve">2001 GUARANTY SUPERSEDED IN ITS ENTIRETY.   </w:t>
      </w:r>
      <w:r>
        <w:rPr>
          <w:sz w:val="24"/>
          <w:szCs w:val="22"/>
        </w:rPr>
        <w:t>It is expressly acknowledged that this Guaranty is given to supersede and cancel arrangements contemplated under the 2001 Guaranty and that the 2001 Guaranty is, as of the Effective Date, null and void and of no further force or effect</w:t>
      </w:r>
      <w:r>
        <w:rPr>
          <w:sz w:val="24"/>
          <w:szCs w:val="22"/>
          <w:u w:val="single"/>
        </w:rPr>
        <w:t>.</w:t>
      </w:r>
      <w:r>
        <w:rPr>
          <w:sz w:val="24"/>
          <w:szCs w:val="22"/>
        </w:rPr>
        <w:t xml:space="preserve">  </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t>Acceptance of Paragraphs 9 and 10:</w:t>
      </w:r>
    </w:p>
    <w:p>
      <w:pPr>
        <w:pStyle w:val="Normal"/>
        <w:spacing w:lineRule="atLeast" w:line="240"/>
        <w:ind w:firstLine="720" w:end="0"/>
        <w:jc w:val="both"/>
        <w:rPr>
          <w:sz w:val="24"/>
          <w:szCs w:val="22"/>
        </w:rPr>
      </w:pPr>
      <w:r>
        <w:rPr>
          <w:sz w:val="24"/>
          <w:szCs w:val="22"/>
        </w:rPr>
        <w:t>NRG Power Marketing, Inc.</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t>By:_________________________</w:t>
      </w:r>
    </w:p>
    <w:p>
      <w:pPr>
        <w:pStyle w:val="Normal"/>
        <w:spacing w:lineRule="atLeast" w:line="240"/>
        <w:ind w:firstLine="720" w:end="0"/>
        <w:jc w:val="both"/>
        <w:rPr>
          <w:sz w:val="24"/>
          <w:szCs w:val="22"/>
        </w:rPr>
      </w:pPr>
      <w:r>
        <w:rPr>
          <w:sz w:val="24"/>
          <w:szCs w:val="22"/>
        </w:rPr>
        <w:t>Name:_______________________</w:t>
      </w:r>
    </w:p>
    <w:p>
      <w:pPr>
        <w:pStyle w:val="Normal"/>
        <w:spacing w:lineRule="atLeast" w:line="240"/>
        <w:ind w:firstLine="720" w:end="0"/>
        <w:jc w:val="both"/>
        <w:rPr>
          <w:sz w:val="24"/>
          <w:szCs w:val="22"/>
        </w:rPr>
      </w:pPr>
      <w:r>
        <w:rPr>
          <w:sz w:val="24"/>
          <w:szCs w:val="22"/>
        </w:rPr>
        <w:t>Title:________________________</w:t>
      </w:r>
    </w:p>
    <w:p>
      <w:pPr>
        <w:pStyle w:val="Normal"/>
        <w:spacing w:lineRule="atLeast" w:line="240"/>
        <w:ind w:firstLine="720" w:end="0"/>
        <w:jc w:val="both"/>
        <w:rPr>
          <w:sz w:val="24"/>
          <w:szCs w:val="22"/>
        </w:rPr>
      </w:pPr>
      <w:r>
        <w:rPr>
          <w:sz w:val="24"/>
          <w:szCs w:val="22"/>
        </w:rPr>
        <w:t>Dated:_______________________</w:t>
      </w:r>
    </w:p>
    <w:p>
      <w:pPr>
        <w:pStyle w:val="Normal"/>
        <w:spacing w:lineRule="atLeast" w:line="240"/>
        <w:ind w:firstLine="720" w:end="0"/>
        <w:jc w:val="both"/>
        <w:rPr>
          <w:sz w:val="24"/>
          <w:szCs w:val="22"/>
        </w:rPr>
      </w:pPr>
      <w:r>
        <w:rPr>
          <w:sz w:val="24"/>
          <w:szCs w:val="22"/>
        </w:rPr>
      </w:r>
    </w:p>
    <w:p>
      <w:pPr>
        <w:pStyle w:val="Normal"/>
        <w:spacing w:lineRule="atLeast" w:line="240"/>
        <w:ind w:firstLine="720" w:end="0"/>
        <w:jc w:val="both"/>
        <w:rPr>
          <w:sz w:val="24"/>
          <w:szCs w:val="22"/>
        </w:rPr>
      </w:pPr>
      <w:r>
        <w:rPr>
          <w:sz w:val="24"/>
          <w:szCs w:val="22"/>
        </w:rPr>
      </w:r>
    </w:p>
    <w:p>
      <w:pPr>
        <w:pStyle w:val="BodyTextIndent"/>
        <w:rPr/>
      </w:pPr>
      <w:r>
        <w:rPr/>
        <w:t>IN WITNESS WHEREOF, the Guarantor has executed this Guaranty on September __, 2001, but it is effective as of the Effective Date.</w:t>
      </w:r>
    </w:p>
    <w:p>
      <w:pPr>
        <w:pStyle w:val="Normal"/>
        <w:spacing w:lineRule="atLeast" w:line="240"/>
        <w:ind w:firstLine="720" w:end="0"/>
        <w:jc w:val="both"/>
        <w:rPr>
          <w:sz w:val="24"/>
          <w:szCs w:val="22"/>
        </w:rPr>
      </w:pPr>
      <w:r>
        <w:rPr>
          <w:sz w:val="24"/>
          <w:szCs w:val="22"/>
        </w:rPr>
      </w:r>
    </w:p>
    <w:p>
      <w:pPr>
        <w:pStyle w:val="Normal"/>
        <w:spacing w:lineRule="atLeast" w:line="240"/>
        <w:ind w:start="5040" w:end="0"/>
        <w:jc w:val="both"/>
        <w:rPr>
          <w:b/>
          <w:bCs/>
          <w:sz w:val="24"/>
          <w:szCs w:val="22"/>
        </w:rPr>
      </w:pPr>
      <w:r>
        <w:rPr>
          <w:b/>
          <w:bCs/>
          <w:sz w:val="24"/>
          <w:szCs w:val="22"/>
        </w:rPr>
        <w:t>ENRON CORP.</w:t>
      </w:r>
    </w:p>
    <w:p>
      <w:pPr>
        <w:pStyle w:val="Normal"/>
        <w:spacing w:lineRule="atLeast" w:line="240"/>
        <w:ind w:start="5040" w:end="0"/>
        <w:jc w:val="both"/>
        <w:rPr>
          <w:b/>
          <w:bCs/>
          <w:sz w:val="24"/>
          <w:szCs w:val="22"/>
        </w:rPr>
      </w:pPr>
      <w:r>
        <w:rPr>
          <w:b/>
          <w:bCs/>
          <w:sz w:val="24"/>
          <w:szCs w:val="22"/>
        </w:rPr>
      </w:r>
    </w:p>
    <w:p>
      <w:pPr>
        <w:pStyle w:val="Normal"/>
        <w:spacing w:lineRule="atLeast" w:line="240"/>
        <w:ind w:start="5040" w:end="0"/>
        <w:jc w:val="both"/>
        <w:rPr>
          <w:b/>
          <w:bCs/>
          <w:sz w:val="24"/>
          <w:szCs w:val="22"/>
        </w:rPr>
      </w:pPr>
      <w:r>
        <w:rPr>
          <w:b/>
          <w:bCs/>
          <w:sz w:val="24"/>
          <w:szCs w:val="22"/>
        </w:rPr>
      </w:r>
    </w:p>
    <w:p>
      <w:pPr>
        <w:pStyle w:val="Normal"/>
        <w:spacing w:lineRule="atLeast" w:line="240"/>
        <w:ind w:start="5040" w:end="0"/>
        <w:jc w:val="both"/>
        <w:rPr>
          <w:sz w:val="24"/>
          <w:szCs w:val="22"/>
        </w:rPr>
      </w:pPr>
      <w:r>
        <w:rPr>
          <w:sz w:val="24"/>
          <w:szCs w:val="22"/>
        </w:rPr>
        <w:t xml:space="preserve">By:  </w:t>
      </w:r>
      <w:r>
        <w:rPr>
          <w:sz w:val="24"/>
          <w:szCs w:val="22"/>
          <w:u w:val="single"/>
        </w:rPr>
        <w:tab/>
        <w:tab/>
        <w:tab/>
        <w:tab/>
        <w:tab/>
        <w:tab/>
      </w:r>
    </w:p>
    <w:p>
      <w:pPr>
        <w:pStyle w:val="Normal"/>
        <w:spacing w:lineRule="atLeast" w:line="240"/>
        <w:ind w:start="5040" w:end="0"/>
        <w:jc w:val="both"/>
        <w:rPr>
          <w:sz w:val="24"/>
          <w:szCs w:val="22"/>
        </w:rPr>
      </w:pPr>
      <w:r>
        <w:rPr>
          <w:sz w:val="24"/>
          <w:szCs w:val="22"/>
        </w:rPr>
        <w:t xml:space="preserve">Name:  </w:t>
      </w:r>
      <w:r>
        <w:rPr>
          <w:sz w:val="24"/>
          <w:szCs w:val="22"/>
          <w:u w:val="single"/>
        </w:rPr>
        <w:tab/>
        <w:tab/>
        <w:tab/>
        <w:tab/>
        <w:tab/>
        <w:tab/>
      </w:r>
    </w:p>
    <w:p>
      <w:pPr>
        <w:pStyle w:val="Normal"/>
        <w:spacing w:lineRule="atLeast" w:line="240"/>
        <w:ind w:start="5040" w:end="0"/>
        <w:jc w:val="both"/>
        <w:rPr>
          <w:sz w:val="24"/>
          <w:szCs w:val="22"/>
        </w:rPr>
      </w:pPr>
      <w:r>
        <w:rPr>
          <w:sz w:val="24"/>
          <w:szCs w:val="22"/>
        </w:rPr>
        <w:t xml:space="preserve">Title:  </w:t>
      </w:r>
      <w:r>
        <w:rPr>
          <w:sz w:val="24"/>
          <w:szCs w:val="22"/>
          <w:u w:val="single"/>
        </w:rPr>
        <w:tab/>
        <w:tab/>
        <w:tab/>
        <w:tab/>
        <w:tab/>
        <w:tab/>
      </w:r>
    </w:p>
    <w:p>
      <w:pPr>
        <w:pStyle w:val="Normal"/>
        <w:rPr>
          <w:sz w:val="24"/>
          <w:szCs w:val="22"/>
        </w:rPr>
      </w:pPr>
      <w:r>
        <w:rPr>
          <w:sz w:val="24"/>
          <w:szCs w:val="22"/>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4"/>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2001-07-30T20:46:00Z</dcterms:created>
  <dc:creator>tjones</dc:creator>
  <dc:description/>
  <dc:language>en-CA</dc:language>
  <cp:lastModifiedBy>dportz</cp:lastModifiedBy>
  <cp:lastPrinted>2001-09-20T18:12:00Z</cp:lastPrinted>
  <dcterms:modified xsi:type="dcterms:W3CDTF">2001-09-20T20:42:00Z</dcterms:modified>
  <cp:revision>7</cp:revision>
  <dc:subject/>
  <dc:title>EXHIBIT A</dc:title>
</cp:coreProperties>
</file>