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Govt Affairs NERC Activities and Issues</w:t>
      </w:r>
    </w:p>
    <w:p>
      <w:pPr>
        <w:pStyle w:val="Normal"/>
        <w:rPr>
          <w:color w:val="000000"/>
          <w:szCs w:val="20"/>
        </w:rPr>
      </w:pPr>
      <w:r>
        <w:rPr>
          <w:color w:val="000000"/>
          <w:szCs w:val="20"/>
        </w:rPr>
      </w:r>
    </w:p>
    <w:p>
      <w:pPr>
        <w:pStyle w:val="Normal"/>
        <w:rPr>
          <w:color w:val="000000"/>
          <w:szCs w:val="20"/>
        </w:rPr>
      </w:pPr>
      <w:r>
        <w:rPr>
          <w:color w:val="000000"/>
          <w:szCs w:val="20"/>
        </w:rPr>
      </w:r>
    </w:p>
    <w:p>
      <w:pPr>
        <w:pStyle w:val="Normal"/>
        <w:rPr>
          <w:color w:val="000000"/>
          <w:szCs w:val="20"/>
        </w:rPr>
      </w:pPr>
      <w:r>
        <w:rPr>
          <w:color w:val="000000"/>
          <w:szCs w:val="20"/>
        </w:rPr>
        <w:t>Charles Yeung</w:t>
      </w:r>
    </w:p>
    <w:p>
      <w:pPr>
        <w:pStyle w:val="Normal"/>
        <w:rPr>
          <w:color w:val="000000"/>
          <w:szCs w:val="20"/>
        </w:rPr>
      </w:pPr>
      <w:r>
        <w:rPr>
          <w:color w:val="000000"/>
          <w:szCs w:val="20"/>
        </w:rPr>
        <w:t>Richard Ingersoll</w:t>
      </w:r>
    </w:p>
    <w:p>
      <w:pPr>
        <w:pStyle w:val="Normal"/>
        <w:rPr>
          <w:color w:val="000000"/>
          <w:szCs w:val="20"/>
        </w:rPr>
      </w:pPr>
      <w:r>
        <w:rPr>
          <w:color w:val="000000"/>
          <w:szCs w:val="20"/>
        </w:rPr>
        <w:t>Andy Rodriquez</w:t>
      </w:r>
    </w:p>
    <w:p>
      <w:pPr>
        <w:pStyle w:val="Normal"/>
        <w:rPr>
          <w:color w:val="000000"/>
          <w:szCs w:val="20"/>
        </w:rPr>
      </w:pPr>
      <w:r>
        <w:rPr>
          <w:color w:val="000000"/>
          <w:szCs w:val="20"/>
        </w:rPr>
      </w:r>
    </w:p>
    <w:p>
      <w:pPr>
        <w:pStyle w:val="Heading1"/>
        <w:ind w:hanging="0" w:start="0"/>
        <w:rPr/>
      </w:pPr>
      <w:r>
        <w:rPr/>
        <w:t>General NERC Focus</w:t>
      </w:r>
    </w:p>
    <w:p>
      <w:pPr>
        <w:pStyle w:val="Normal"/>
        <w:rPr>
          <w:color w:val="000000"/>
          <w:szCs w:val="20"/>
        </w:rPr>
      </w:pPr>
      <w:r>
        <w:rPr>
          <w:color w:val="000000"/>
          <w:szCs w:val="20"/>
        </w:rPr>
      </w:r>
    </w:p>
    <w:p>
      <w:pPr>
        <w:pStyle w:val="Normal"/>
        <w:rPr>
          <w:color w:val="000000"/>
          <w:szCs w:val="20"/>
        </w:rPr>
      </w:pPr>
      <w:r>
        <w:rPr>
          <w:color w:val="000000"/>
          <w:szCs w:val="20"/>
        </w:rPr>
        <w:t>NERC is focused on developing reliability standards and requirements for North America transmission utilities.  NERC is currently pushing language in the reliability legislation that empowers them to become the industry reliability standards setting authority.  In order to meet the requirements in the proposed legislation to become that body, NERC has put into place an independent Board of Trustees, developed a compliance and enforcement program, and has expanded membership of its committees to include membership representing a myriad of industry segments.</w:t>
      </w:r>
    </w:p>
    <w:p>
      <w:pPr>
        <w:pStyle w:val="Normal"/>
        <w:rPr>
          <w:color w:val="000000"/>
          <w:szCs w:val="20"/>
        </w:rPr>
      </w:pPr>
      <w:r>
        <w:rPr>
          <w:color w:val="000000"/>
          <w:szCs w:val="20"/>
        </w:rPr>
      </w:r>
    </w:p>
    <w:p>
      <w:pPr>
        <w:pStyle w:val="Heading1"/>
        <w:ind w:hanging="0" w:start="0"/>
        <w:rPr/>
      </w:pPr>
      <w:r>
        <w:rPr/>
        <w:t>Overall - What We are Doing</w:t>
      </w:r>
    </w:p>
    <w:p>
      <w:pPr>
        <w:pStyle w:val="Normal"/>
        <w:rPr>
          <w:color w:val="000000"/>
          <w:szCs w:val="20"/>
        </w:rPr>
      </w:pPr>
      <w:r>
        <w:rPr>
          <w:color w:val="000000"/>
          <w:szCs w:val="20"/>
        </w:rPr>
      </w:r>
    </w:p>
    <w:p>
      <w:pPr>
        <w:pStyle w:val="Normal"/>
        <w:rPr>
          <w:color w:val="000000"/>
          <w:szCs w:val="20"/>
        </w:rPr>
      </w:pPr>
      <w:r>
        <w:rPr>
          <w:color w:val="000000"/>
          <w:szCs w:val="20"/>
        </w:rPr>
        <w:t xml:space="preserve">Enron Govt Affairs staff have been working to ensure that the NERC organization is open, and balanced and that the independent Board members are not “overshadowed” by incumbent utilities.  Enron Govt affairs persons have also been able to be appointed to key seats on various NERC committees and subcommittees.  These groups decide issues that directly impact the daily activities of the Enron power desks (East and West) as well as deciding the near-future relationships between transmission users and transmission operators. </w:t>
      </w:r>
    </w:p>
    <w:p>
      <w:pPr>
        <w:pStyle w:val="Normal"/>
        <w:rPr>
          <w:color w:val="000000"/>
          <w:szCs w:val="20"/>
        </w:rPr>
      </w:pPr>
      <w:r>
        <w:rPr>
          <w:color w:val="000000"/>
          <w:szCs w:val="20"/>
        </w:rPr>
      </w:r>
    </w:p>
    <w:p>
      <w:pPr>
        <w:pStyle w:val="Normal"/>
        <w:rPr>
          <w:color w:val="000000"/>
          <w:szCs w:val="20"/>
        </w:rPr>
      </w:pPr>
      <w:r>
        <w:rPr>
          <w:color w:val="000000"/>
          <w:szCs w:val="20"/>
        </w:rPr>
        <w:t>Specific NERC group focuses and Enron strategies are detailed in the descriptions below.</w:t>
      </w:r>
    </w:p>
    <w:p>
      <w:pPr>
        <w:pStyle w:val="Normal"/>
        <w:rPr>
          <w:b/>
          <w:bCs/>
          <w:color w:val="000000"/>
          <w:szCs w:val="20"/>
        </w:rPr>
      </w:pPr>
      <w:r>
        <w:rPr>
          <w:b/>
          <w:bCs/>
          <w:color w:val="000000"/>
          <w:szCs w:val="20"/>
        </w:rPr>
      </w:r>
    </w:p>
    <w:p>
      <w:pPr>
        <w:pStyle w:val="Normal"/>
        <w:rPr>
          <w:b/>
          <w:bCs/>
          <w:color w:val="000000"/>
          <w:szCs w:val="20"/>
        </w:rPr>
      </w:pPr>
      <w:r>
        <w:rPr>
          <w:b/>
          <w:bCs/>
          <w:color w:val="000000"/>
          <w:szCs w:val="20"/>
        </w:rPr>
      </w:r>
    </w:p>
    <w:p>
      <w:pPr>
        <w:pStyle w:val="Normal"/>
        <w:rPr>
          <w:b/>
          <w:bCs/>
          <w:color w:val="000000"/>
          <w:szCs w:val="20"/>
        </w:rPr>
      </w:pPr>
      <w:r>
        <w:rPr>
          <w:b/>
          <w:bCs/>
          <w:color w:val="000000"/>
          <w:szCs w:val="20"/>
        </w:rPr>
        <w:t>Charles Yeung Activities</w:t>
      </w:r>
    </w:p>
    <w:p>
      <w:pPr>
        <w:pStyle w:val="Normal"/>
        <w:rPr>
          <w:b/>
          <w:bCs/>
          <w:color w:val="000000"/>
          <w:szCs w:val="20"/>
        </w:rPr>
      </w:pPr>
      <w:r>
        <w:rPr>
          <w:b/>
          <w:bCs/>
          <w:color w:val="000000"/>
          <w:szCs w:val="20"/>
        </w:rPr>
      </w:r>
    </w:p>
    <w:p>
      <w:pPr>
        <w:pStyle w:val="Normal"/>
        <w:rPr>
          <w:b/>
          <w:bCs/>
          <w:color w:val="000000"/>
          <w:szCs w:val="20"/>
        </w:rPr>
      </w:pPr>
      <w:r>
        <w:rPr>
          <w:b/>
          <w:bCs/>
          <w:color w:val="000000"/>
          <w:szCs w:val="20"/>
        </w:rPr>
        <w:t>Market Interface Committee</w:t>
      </w:r>
    </w:p>
    <w:p>
      <w:pPr>
        <w:pStyle w:val="Normal"/>
        <w:numPr>
          <w:ilvl w:val="0"/>
          <w:numId w:val="3"/>
        </w:numPr>
        <w:rPr>
          <w:color w:val="000000"/>
          <w:szCs w:val="20"/>
        </w:rPr>
      </w:pPr>
      <w:r>
        <w:rPr>
          <w:color w:val="000000"/>
          <w:szCs w:val="20"/>
        </w:rPr>
        <w:t xml:space="preserve">Focus </w:t>
      </w:r>
    </w:p>
    <w:p>
      <w:pPr>
        <w:pStyle w:val="Normal"/>
        <w:numPr>
          <w:ilvl w:val="1"/>
          <w:numId w:val="3"/>
        </w:numPr>
        <w:rPr>
          <w:color w:val="000000"/>
          <w:szCs w:val="20"/>
        </w:rPr>
      </w:pPr>
      <w:r>
        <w:rPr>
          <w:color w:val="000000"/>
          <w:szCs w:val="20"/>
        </w:rPr>
        <w:t>Responsible for development of practices and standards that are necessary to facilitate the implementation of market transactions into system schedules</w:t>
      </w:r>
    </w:p>
    <w:p>
      <w:pPr>
        <w:pStyle w:val="Normal"/>
        <w:ind w:start="720" w:end="0"/>
        <w:rPr>
          <w:color w:val="000000"/>
          <w:szCs w:val="20"/>
        </w:rPr>
      </w:pPr>
      <w:r>
        <w:rPr>
          <w:color w:val="000000"/>
          <w:szCs w:val="20"/>
        </w:rPr>
      </w:r>
    </w:p>
    <w:p>
      <w:pPr>
        <w:pStyle w:val="Normal"/>
        <w:numPr>
          <w:ilvl w:val="0"/>
          <w:numId w:val="3"/>
        </w:numPr>
        <w:rPr>
          <w:color w:val="000000"/>
          <w:szCs w:val="20"/>
        </w:rPr>
      </w:pPr>
      <w:r>
        <w:rPr>
          <w:color w:val="000000"/>
          <w:szCs w:val="20"/>
        </w:rPr>
        <w:t xml:space="preserve">What we are doing </w:t>
      </w:r>
    </w:p>
    <w:p>
      <w:pPr>
        <w:pStyle w:val="Normal"/>
        <w:numPr>
          <w:ilvl w:val="1"/>
          <w:numId w:val="3"/>
        </w:numPr>
        <w:rPr>
          <w:color w:val="000000"/>
          <w:szCs w:val="20"/>
        </w:rPr>
      </w:pPr>
      <w:r>
        <w:rPr>
          <w:color w:val="000000"/>
          <w:szCs w:val="20"/>
        </w:rPr>
        <w:t>Limit NERC’s role in dictating market/commercial practices  - but balance that with the need for NERC to take a role in standardizing market interface practices for industry consistency</w:t>
      </w:r>
    </w:p>
    <w:p>
      <w:pPr>
        <w:pStyle w:val="Normal"/>
        <w:ind w:start="1080" w:end="0"/>
        <w:rPr>
          <w:color w:val="000000"/>
          <w:szCs w:val="20"/>
        </w:rPr>
      </w:pPr>
      <w:r>
        <w:rPr>
          <w:color w:val="000000"/>
          <w:szCs w:val="20"/>
        </w:rPr>
      </w:r>
    </w:p>
    <w:p>
      <w:pPr>
        <w:pStyle w:val="Normal"/>
        <w:numPr>
          <w:ilvl w:val="0"/>
          <w:numId w:val="3"/>
        </w:numPr>
        <w:rPr>
          <w:color w:val="000000"/>
          <w:szCs w:val="20"/>
        </w:rPr>
      </w:pPr>
      <w:r>
        <w:rPr>
          <w:color w:val="000000"/>
          <w:szCs w:val="20"/>
        </w:rPr>
        <w:t>Charles Yeung serves as one of 2 Power Marketer representatives and serves on the Executive Committee of the MIC</w:t>
      </w:r>
    </w:p>
    <w:p>
      <w:pPr>
        <w:pStyle w:val="Normal"/>
        <w:rPr>
          <w:color w:val="000000"/>
          <w:szCs w:val="20"/>
        </w:rPr>
      </w:pPr>
      <w:r>
        <w:rPr>
          <w:color w:val="000000"/>
          <w:szCs w:val="20"/>
        </w:rPr>
      </w:r>
    </w:p>
    <w:p>
      <w:pPr>
        <w:pStyle w:val="Heading1"/>
        <w:ind w:hanging="0" w:start="0"/>
        <w:rPr/>
      </w:pPr>
      <w:r>
        <w:rPr/>
        <w:t>Interchange Subcommittee (reports to the Operating Committee)</w:t>
      </w:r>
    </w:p>
    <w:p>
      <w:pPr>
        <w:pStyle w:val="Normal"/>
        <w:numPr>
          <w:ilvl w:val="0"/>
          <w:numId w:val="12"/>
        </w:numPr>
        <w:rPr>
          <w:color w:val="000000"/>
          <w:szCs w:val="20"/>
        </w:rPr>
      </w:pPr>
      <w:r>
        <w:rPr>
          <w:color w:val="000000"/>
          <w:szCs w:val="20"/>
        </w:rPr>
        <w:t xml:space="preserve">Focus </w:t>
      </w:r>
    </w:p>
    <w:p>
      <w:pPr>
        <w:pStyle w:val="Normal"/>
        <w:numPr>
          <w:ilvl w:val="1"/>
          <w:numId w:val="12"/>
        </w:numPr>
        <w:rPr>
          <w:color w:val="000000"/>
          <w:szCs w:val="20"/>
        </w:rPr>
      </w:pPr>
      <w:r>
        <w:rPr>
          <w:color w:val="000000"/>
          <w:szCs w:val="20"/>
        </w:rPr>
        <w:t>Develop standards for the implementation of interchange (or control area to control area) schedules</w:t>
      </w:r>
    </w:p>
    <w:p>
      <w:pPr>
        <w:pStyle w:val="Normal"/>
        <w:numPr>
          <w:ilvl w:val="1"/>
          <w:numId w:val="12"/>
        </w:numPr>
        <w:rPr>
          <w:color w:val="000000"/>
          <w:szCs w:val="20"/>
        </w:rPr>
      </w:pPr>
      <w:r>
        <w:rPr>
          <w:color w:val="000000"/>
          <w:szCs w:val="20"/>
        </w:rPr>
        <w:t>These standards between operating entities also require standard forms of communications between operators and market entities (Purchasing Selling Entities) who schedule delivery of energy.  These standards also indirectly define the degree of flexibility for parking and hubbing of transactions.</w:t>
      </w:r>
    </w:p>
    <w:p>
      <w:pPr>
        <w:pStyle w:val="Normal"/>
        <w:ind w:start="1080" w:end="0"/>
        <w:rPr>
          <w:color w:val="000000"/>
          <w:szCs w:val="20"/>
        </w:rPr>
      </w:pPr>
      <w:r>
        <w:rPr>
          <w:color w:val="000000"/>
          <w:szCs w:val="20"/>
        </w:rPr>
      </w:r>
    </w:p>
    <w:p>
      <w:pPr>
        <w:pStyle w:val="Normal"/>
        <w:numPr>
          <w:ilvl w:val="0"/>
          <w:numId w:val="12"/>
        </w:numPr>
        <w:rPr>
          <w:color w:val="000000"/>
          <w:szCs w:val="20"/>
        </w:rPr>
      </w:pPr>
      <w:r>
        <w:rPr>
          <w:color w:val="000000"/>
          <w:szCs w:val="20"/>
        </w:rPr>
        <w:t>What we are doing</w:t>
      </w:r>
    </w:p>
    <w:p>
      <w:pPr>
        <w:pStyle w:val="Normal"/>
        <w:numPr>
          <w:ilvl w:val="1"/>
          <w:numId w:val="12"/>
        </w:numPr>
        <w:rPr>
          <w:color w:val="000000"/>
          <w:szCs w:val="20"/>
        </w:rPr>
      </w:pPr>
      <w:r>
        <w:rPr>
          <w:color w:val="000000"/>
          <w:szCs w:val="20"/>
        </w:rPr>
        <w:t xml:space="preserve">In order to effect interconnection coordination and communication of interchange schedules, Operating Policy 3 has increased in detail and requirements to include specific data and timing requirements for control areas and Purchasing Selling Entities.  This has made the operating policy burdensome on the market and limited flexibility to adapt scheduling practices to market needs.  </w:t>
      </w:r>
    </w:p>
    <w:p>
      <w:pPr>
        <w:pStyle w:val="Normal"/>
        <w:numPr>
          <w:ilvl w:val="1"/>
          <w:numId w:val="12"/>
        </w:numPr>
        <w:rPr>
          <w:color w:val="000000"/>
          <w:szCs w:val="20"/>
        </w:rPr>
      </w:pPr>
      <w:r>
        <w:rPr>
          <w:color w:val="000000"/>
          <w:szCs w:val="20"/>
        </w:rPr>
        <w:t>A new approach for specifying standardized communication of interchange data is needed that can keep all control areas on the same data and timing requirements – but allow market needs to be implemented quickly.</w:t>
      </w:r>
    </w:p>
    <w:p>
      <w:pPr>
        <w:pStyle w:val="Normal"/>
        <w:tabs>
          <w:tab w:val="clear" w:pos="720"/>
          <w:tab w:val="left" w:pos="960" w:leader="none"/>
        </w:tabs>
        <w:ind w:firstLine="960" w:end="0"/>
        <w:rPr>
          <w:color w:val="000000"/>
          <w:szCs w:val="20"/>
        </w:rPr>
      </w:pPr>
      <w:r>
        <w:rPr>
          <w:color w:val="000000"/>
          <w:szCs w:val="20"/>
        </w:rPr>
      </w:r>
    </w:p>
    <w:p>
      <w:pPr>
        <w:pStyle w:val="Normal"/>
        <w:numPr>
          <w:ilvl w:val="0"/>
          <w:numId w:val="12"/>
        </w:numPr>
        <w:tabs>
          <w:tab w:val="clear" w:pos="720"/>
          <w:tab w:val="left" w:pos="960" w:leader="none"/>
        </w:tabs>
        <w:rPr>
          <w:color w:val="000000"/>
          <w:szCs w:val="20"/>
        </w:rPr>
      </w:pPr>
      <w:r>
        <w:rPr>
          <w:color w:val="000000"/>
          <w:szCs w:val="20"/>
        </w:rPr>
        <w:t>Charles Yeung serves as Chairman of this Subcommittee</w:t>
      </w:r>
    </w:p>
    <w:p>
      <w:pPr>
        <w:pStyle w:val="Normal"/>
        <w:tabs>
          <w:tab w:val="clear" w:pos="720"/>
          <w:tab w:val="left" w:pos="960" w:leader="none"/>
        </w:tabs>
        <w:rPr>
          <w:color w:val="000000"/>
          <w:szCs w:val="20"/>
        </w:rPr>
      </w:pPr>
      <w:r>
        <w:rPr>
          <w:color w:val="000000"/>
          <w:szCs w:val="20"/>
        </w:rPr>
      </w:r>
    </w:p>
    <w:p>
      <w:pPr>
        <w:pStyle w:val="Heading1"/>
        <w:ind w:hanging="0" w:start="0"/>
        <w:rPr/>
      </w:pPr>
      <w:r>
        <w:rPr/>
        <w:t>NERC-facilitated ESC Electronic Scheduling Collaborative</w:t>
      </w:r>
    </w:p>
    <w:p>
      <w:pPr>
        <w:pStyle w:val="Normal"/>
        <w:numPr>
          <w:ilvl w:val="0"/>
          <w:numId w:val="7"/>
        </w:numPr>
        <w:rPr>
          <w:color w:val="000000"/>
          <w:szCs w:val="20"/>
        </w:rPr>
      </w:pPr>
      <w:r>
        <w:rPr>
          <w:color w:val="000000"/>
          <w:szCs w:val="20"/>
        </w:rPr>
        <w:t>Focus</w:t>
      </w:r>
    </w:p>
    <w:p>
      <w:pPr>
        <w:pStyle w:val="Normal"/>
        <w:numPr>
          <w:ilvl w:val="1"/>
          <w:numId w:val="7"/>
        </w:numPr>
        <w:rPr>
          <w:color w:val="000000"/>
          <w:szCs w:val="20"/>
        </w:rPr>
      </w:pPr>
      <w:r>
        <w:rPr>
          <w:color w:val="000000"/>
          <w:szCs w:val="20"/>
        </w:rPr>
        <w:t>Develop standardized business practices as an industry response to the FERC ANOPR on OASIS Phase II – Electronic Scheduling.  The OSC (see Andy Rodriquez below) develops a complementary Standards and Communications Protocol to accompany the ESC response.</w:t>
      </w:r>
    </w:p>
    <w:p>
      <w:pPr>
        <w:pStyle w:val="Normal"/>
        <w:rPr>
          <w:color w:val="000000"/>
          <w:szCs w:val="20"/>
        </w:rPr>
      </w:pPr>
      <w:r>
        <w:rPr>
          <w:color w:val="000000"/>
          <w:szCs w:val="20"/>
        </w:rPr>
      </w:r>
    </w:p>
    <w:p>
      <w:pPr>
        <w:pStyle w:val="Normal"/>
        <w:numPr>
          <w:ilvl w:val="0"/>
          <w:numId w:val="7"/>
        </w:numPr>
        <w:rPr>
          <w:color w:val="000000"/>
          <w:szCs w:val="20"/>
        </w:rPr>
      </w:pPr>
      <w:r>
        <w:rPr>
          <w:color w:val="000000"/>
          <w:szCs w:val="20"/>
        </w:rPr>
        <w:t>What we are doing</w:t>
      </w:r>
    </w:p>
    <w:p>
      <w:pPr>
        <w:pStyle w:val="Normal"/>
        <w:numPr>
          <w:ilvl w:val="1"/>
          <w:numId w:val="7"/>
        </w:numPr>
        <w:rPr>
          <w:color w:val="000000"/>
          <w:szCs w:val="20"/>
        </w:rPr>
      </w:pPr>
      <w:r>
        <w:rPr>
          <w:color w:val="000000"/>
          <w:szCs w:val="20"/>
        </w:rPr>
        <w:t xml:space="preserve">In order to develop a single “One-Stop-Shop” transmission reservation and scheduling node for the wholesale electricity business, common scheduling communications are needed to ensure seamless markets between the multiple and diverse RTO systems.  Without FERC mandate for RTOs to develop their systems around a common transmission model, data to effect inter-RTO schedules must be compatible.  </w:t>
      </w:r>
    </w:p>
    <w:p>
      <w:pPr>
        <w:pStyle w:val="Normal"/>
        <w:rPr>
          <w:color w:val="000000"/>
          <w:szCs w:val="20"/>
        </w:rPr>
      </w:pPr>
      <w:r>
        <w:rPr>
          <w:color w:val="000000"/>
          <w:szCs w:val="20"/>
        </w:rPr>
      </w:r>
    </w:p>
    <w:p>
      <w:pPr>
        <w:pStyle w:val="Normal"/>
        <w:numPr>
          <w:ilvl w:val="0"/>
          <w:numId w:val="7"/>
        </w:numPr>
        <w:rPr>
          <w:color w:val="000000"/>
          <w:szCs w:val="20"/>
        </w:rPr>
      </w:pPr>
      <w:r>
        <w:rPr>
          <w:color w:val="000000"/>
          <w:szCs w:val="20"/>
        </w:rPr>
        <w:t>Charles Yeung serves as a member of the “core” membership of this open membership group</w:t>
      </w:r>
    </w:p>
    <w:p>
      <w:pPr>
        <w:pStyle w:val="Normal"/>
        <w:rPr>
          <w:color w:val="000000"/>
          <w:szCs w:val="20"/>
        </w:rPr>
      </w:pPr>
      <w:r>
        <w:rPr>
          <w:color w:val="000000"/>
          <w:szCs w:val="20"/>
        </w:rPr>
      </w:r>
    </w:p>
    <w:p>
      <w:pPr>
        <w:pStyle w:val="Heading1"/>
        <w:ind w:hanging="0" w:start="0"/>
        <w:rPr/>
      </w:pPr>
      <w:r>
        <w:rPr/>
        <w:t>IDC Granularity Task Force (reports to the Security Subcommittee)</w:t>
      </w:r>
    </w:p>
    <w:p>
      <w:pPr>
        <w:pStyle w:val="Normal"/>
        <w:numPr>
          <w:ilvl w:val="0"/>
          <w:numId w:val="5"/>
        </w:numPr>
        <w:rPr>
          <w:color w:val="000000"/>
          <w:szCs w:val="20"/>
        </w:rPr>
      </w:pPr>
      <w:r>
        <w:rPr>
          <w:color w:val="000000"/>
          <w:szCs w:val="20"/>
        </w:rPr>
        <w:t>Focus</w:t>
      </w:r>
    </w:p>
    <w:p>
      <w:pPr>
        <w:pStyle w:val="Normal"/>
        <w:numPr>
          <w:ilvl w:val="1"/>
          <w:numId w:val="5"/>
        </w:numPr>
        <w:rPr>
          <w:color w:val="000000"/>
          <w:szCs w:val="20"/>
        </w:rPr>
      </w:pPr>
      <w:r>
        <w:rPr>
          <w:color w:val="000000"/>
          <w:szCs w:val="20"/>
        </w:rPr>
        <w:t>Charged by the Security Subcommittee to develop a procedure for increasing the granularity of the Interchange Distribution Calculator used to identify interchange transactions for curtailment.  Currently, most interchange transaction points are defined only down to the control area level (POR and POD).</w:t>
      </w:r>
    </w:p>
    <w:p>
      <w:pPr>
        <w:pStyle w:val="Normal"/>
        <w:numPr>
          <w:ilvl w:val="1"/>
          <w:numId w:val="5"/>
        </w:numPr>
        <w:rPr>
          <w:color w:val="000000"/>
          <w:szCs w:val="20"/>
        </w:rPr>
      </w:pPr>
      <w:r>
        <w:rPr>
          <w:color w:val="000000"/>
          <w:szCs w:val="20"/>
        </w:rPr>
        <w:t xml:space="preserve">Providers argue that certain systems have no ability to curtail specific generator to load transactions due to lack of granularity.  </w:t>
      </w:r>
    </w:p>
    <w:p>
      <w:pPr>
        <w:pStyle w:val="Normal"/>
        <w:rPr>
          <w:color w:val="000000"/>
          <w:szCs w:val="20"/>
        </w:rPr>
      </w:pPr>
      <w:r>
        <w:rPr>
          <w:color w:val="000000"/>
          <w:szCs w:val="20"/>
        </w:rPr>
      </w:r>
    </w:p>
    <w:p>
      <w:pPr>
        <w:pStyle w:val="Normal"/>
        <w:numPr>
          <w:ilvl w:val="0"/>
          <w:numId w:val="5"/>
        </w:numPr>
        <w:rPr>
          <w:color w:val="000000"/>
          <w:szCs w:val="20"/>
        </w:rPr>
      </w:pPr>
      <w:r>
        <w:rPr>
          <w:color w:val="000000"/>
          <w:szCs w:val="20"/>
        </w:rPr>
        <w:t>What we are doing</w:t>
      </w:r>
    </w:p>
    <w:p>
      <w:pPr>
        <w:pStyle w:val="Normal"/>
        <w:numPr>
          <w:ilvl w:val="1"/>
          <w:numId w:val="5"/>
        </w:numPr>
        <w:rPr>
          <w:color w:val="000000"/>
          <w:szCs w:val="20"/>
        </w:rPr>
      </w:pPr>
      <w:r>
        <w:rPr>
          <w:color w:val="000000"/>
          <w:szCs w:val="20"/>
        </w:rPr>
        <w:t>Increasing the granularity of the model will potentially restrict the market’s ability to trade energy from a portfolio of generators within a control area. It can also further the inequity between point-to-point transmission service and native/network service.</w:t>
      </w:r>
    </w:p>
    <w:p>
      <w:pPr>
        <w:pStyle w:val="Normal"/>
        <w:numPr>
          <w:ilvl w:val="1"/>
          <w:numId w:val="5"/>
        </w:numPr>
        <w:rPr>
          <w:color w:val="000000"/>
          <w:szCs w:val="20"/>
        </w:rPr>
      </w:pPr>
      <w:r>
        <w:rPr>
          <w:color w:val="000000"/>
          <w:szCs w:val="20"/>
        </w:rPr>
        <w:t xml:space="preserve">Rigid requirements and procedures for increasing granularity, transmission providers are needed to limit the use of increased granularity.  </w:t>
      </w:r>
    </w:p>
    <w:p>
      <w:pPr>
        <w:pStyle w:val="Normal"/>
        <w:ind w:start="720" w:end="0"/>
        <w:rPr>
          <w:color w:val="000000"/>
          <w:szCs w:val="20"/>
        </w:rPr>
      </w:pPr>
      <w:r>
        <w:rPr>
          <w:color w:val="000000"/>
          <w:szCs w:val="20"/>
        </w:rPr>
      </w:r>
    </w:p>
    <w:p>
      <w:pPr>
        <w:pStyle w:val="BodyText2"/>
        <w:rPr/>
      </w:pPr>
      <w:r>
        <w:rPr/>
        <w:t>Congestion Management Subcommittee (reports to the Market Interface Committee)</w:t>
      </w:r>
    </w:p>
    <w:p>
      <w:pPr>
        <w:pStyle w:val="Normal"/>
        <w:numPr>
          <w:ilvl w:val="0"/>
          <w:numId w:val="10"/>
        </w:numPr>
        <w:rPr>
          <w:color w:val="000000"/>
          <w:szCs w:val="20"/>
        </w:rPr>
      </w:pPr>
      <w:r>
        <w:rPr>
          <w:color w:val="000000"/>
          <w:szCs w:val="20"/>
        </w:rPr>
        <w:t>Focus</w:t>
      </w:r>
    </w:p>
    <w:p>
      <w:pPr>
        <w:pStyle w:val="Normal"/>
        <w:numPr>
          <w:ilvl w:val="1"/>
          <w:numId w:val="10"/>
        </w:numPr>
        <w:rPr>
          <w:color w:val="000000"/>
          <w:szCs w:val="20"/>
        </w:rPr>
      </w:pPr>
      <w:r>
        <w:rPr>
          <w:color w:val="000000"/>
          <w:szCs w:val="20"/>
        </w:rPr>
        <w:t>Develop alternatives to NERC TLR and propose/analyze changes to the NERC TLR procedure that can reduce the effects of TLR on the marketplace.</w:t>
      </w:r>
    </w:p>
    <w:p>
      <w:pPr>
        <w:pStyle w:val="Normal"/>
        <w:rPr>
          <w:color w:val="000000"/>
          <w:szCs w:val="20"/>
        </w:rPr>
      </w:pPr>
      <w:r>
        <w:rPr>
          <w:color w:val="000000"/>
          <w:szCs w:val="20"/>
        </w:rPr>
      </w:r>
    </w:p>
    <w:p>
      <w:pPr>
        <w:pStyle w:val="Normal"/>
        <w:numPr>
          <w:ilvl w:val="0"/>
          <w:numId w:val="10"/>
        </w:numPr>
        <w:rPr>
          <w:color w:val="000000"/>
          <w:szCs w:val="20"/>
        </w:rPr>
      </w:pPr>
      <w:r>
        <w:rPr>
          <w:color w:val="000000"/>
          <w:szCs w:val="20"/>
        </w:rPr>
        <w:t>What we are doing</w:t>
      </w:r>
    </w:p>
    <w:p>
      <w:pPr>
        <w:pStyle w:val="Normal"/>
        <w:numPr>
          <w:ilvl w:val="1"/>
          <w:numId w:val="10"/>
        </w:numPr>
        <w:rPr>
          <w:color w:val="000000"/>
          <w:szCs w:val="20"/>
        </w:rPr>
      </w:pPr>
      <w:r>
        <w:rPr>
          <w:color w:val="000000"/>
          <w:szCs w:val="20"/>
        </w:rPr>
        <w:t>Provide input into development of congestion management tools and procedures that benefit Enron wholesale electric trading – including disclosure of more transmission system data.</w:t>
      </w:r>
    </w:p>
    <w:p>
      <w:pPr>
        <w:pStyle w:val="Normal"/>
        <w:rPr>
          <w:color w:val="000000"/>
          <w:szCs w:val="20"/>
        </w:rPr>
      </w:pPr>
      <w:r>
        <w:rPr>
          <w:color w:val="000000"/>
          <w:szCs w:val="20"/>
        </w:rPr>
      </w:r>
    </w:p>
    <w:p>
      <w:pPr>
        <w:pStyle w:val="Normal"/>
        <w:rPr>
          <w:color w:val="000000"/>
          <w:szCs w:val="20"/>
        </w:rPr>
      </w:pPr>
      <w:r>
        <w:rPr>
          <w:color w:val="000000"/>
          <w:szCs w:val="20"/>
        </w:rPr>
      </w:r>
    </w:p>
    <w:p>
      <w:pPr>
        <w:pStyle w:val="Heading1"/>
        <w:ind w:hanging="0" w:start="0"/>
        <w:rPr/>
      </w:pPr>
      <w:r>
        <w:rPr/>
        <w:t>Richard Ingersoll Activities</w:t>
      </w:r>
    </w:p>
    <w:p>
      <w:pPr>
        <w:pStyle w:val="Normal"/>
        <w:rPr>
          <w:color w:val="000000"/>
          <w:szCs w:val="20"/>
        </w:rPr>
      </w:pPr>
      <w:r>
        <w:rPr>
          <w:color w:val="000000"/>
          <w:szCs w:val="20"/>
        </w:rPr>
      </w:r>
    </w:p>
    <w:p>
      <w:pPr>
        <w:pStyle w:val="Heading1"/>
        <w:ind w:hanging="0" w:start="0"/>
        <w:rPr/>
      </w:pPr>
      <w:r>
        <w:rPr/>
        <w:t>Operating Committee</w:t>
      </w:r>
    </w:p>
    <w:p>
      <w:pPr>
        <w:pStyle w:val="Normal"/>
        <w:numPr>
          <w:ilvl w:val="0"/>
          <w:numId w:val="11"/>
        </w:numPr>
        <w:rPr>
          <w:color w:val="000000"/>
          <w:szCs w:val="20"/>
        </w:rPr>
      </w:pPr>
      <w:r>
        <w:rPr>
          <w:color w:val="000000"/>
          <w:szCs w:val="20"/>
        </w:rPr>
        <w:t>Focus</w:t>
      </w:r>
    </w:p>
    <w:p>
      <w:pPr>
        <w:pStyle w:val="Normal"/>
        <w:numPr>
          <w:ilvl w:val="1"/>
          <w:numId w:val="11"/>
        </w:numPr>
        <w:rPr>
          <w:color w:val="000000"/>
          <w:szCs w:val="20"/>
        </w:rPr>
      </w:pPr>
      <w:r>
        <w:rPr>
          <w:color w:val="000000"/>
          <w:szCs w:val="20"/>
        </w:rPr>
        <w:t>Proprietor of all NERC Operating Policies that impact management of transmission grid security and system reliability.  Final approval authority and industry consensus forum within NERC process before approval by independent Board of Trustees.</w:t>
      </w:r>
    </w:p>
    <w:p>
      <w:pPr>
        <w:pStyle w:val="Normal"/>
        <w:ind w:start="1080" w:end="0"/>
        <w:rPr>
          <w:color w:val="000000"/>
          <w:szCs w:val="20"/>
        </w:rPr>
      </w:pPr>
      <w:r>
        <w:rPr>
          <w:color w:val="000000"/>
          <w:szCs w:val="20"/>
        </w:rPr>
      </w:r>
    </w:p>
    <w:p>
      <w:pPr>
        <w:pStyle w:val="Normal"/>
        <w:numPr>
          <w:ilvl w:val="0"/>
          <w:numId w:val="11"/>
        </w:numPr>
        <w:rPr>
          <w:color w:val="000000"/>
          <w:szCs w:val="20"/>
        </w:rPr>
      </w:pPr>
      <w:r>
        <w:rPr>
          <w:color w:val="000000"/>
          <w:szCs w:val="20"/>
        </w:rPr>
        <w:t>What we are doing</w:t>
      </w:r>
    </w:p>
    <w:p>
      <w:pPr>
        <w:pStyle w:val="Normal"/>
        <w:numPr>
          <w:ilvl w:val="1"/>
          <w:numId w:val="11"/>
        </w:numPr>
        <w:rPr>
          <w:color w:val="000000"/>
          <w:szCs w:val="20"/>
        </w:rPr>
      </w:pPr>
      <w:r>
        <w:rPr>
          <w:color w:val="000000"/>
          <w:szCs w:val="20"/>
        </w:rPr>
        <w:t>Protect and retain market interests in the balance between reliability needs and market impacts of policy and tools changes such as: NERC TLR, IDC, Tagging and NERC transmission  security tools.</w:t>
      </w:r>
    </w:p>
    <w:p>
      <w:pPr>
        <w:pStyle w:val="Normal"/>
        <w:ind w:start="1080" w:end="0"/>
        <w:rPr>
          <w:color w:val="000000"/>
          <w:szCs w:val="20"/>
        </w:rPr>
      </w:pPr>
      <w:r>
        <w:rPr>
          <w:color w:val="000000"/>
          <w:szCs w:val="20"/>
        </w:rPr>
      </w:r>
    </w:p>
    <w:p>
      <w:pPr>
        <w:pStyle w:val="Normal"/>
        <w:numPr>
          <w:ilvl w:val="0"/>
          <w:numId w:val="11"/>
        </w:numPr>
        <w:rPr>
          <w:color w:val="000000"/>
          <w:szCs w:val="20"/>
        </w:rPr>
      </w:pPr>
      <w:r>
        <w:rPr>
          <w:color w:val="000000"/>
          <w:szCs w:val="20"/>
        </w:rPr>
        <w:t xml:space="preserve">Richard Ingersoll serves as one of 2 Power Marketer representatives </w:t>
      </w:r>
    </w:p>
    <w:p>
      <w:pPr>
        <w:pStyle w:val="Normal"/>
        <w:ind w:start="360" w:end="0"/>
        <w:rPr>
          <w:color w:val="000000"/>
          <w:szCs w:val="20"/>
        </w:rPr>
      </w:pPr>
      <w:r>
        <w:rPr>
          <w:color w:val="000000"/>
          <w:szCs w:val="20"/>
        </w:rPr>
      </w:r>
    </w:p>
    <w:p>
      <w:pPr>
        <w:pStyle w:val="BodyText2"/>
        <w:rPr/>
      </w:pPr>
      <w:r>
        <w:rPr/>
        <w:t>Security Subcommittee (reports to the OC)</w:t>
      </w:r>
    </w:p>
    <w:p>
      <w:pPr>
        <w:pStyle w:val="Normal"/>
        <w:numPr>
          <w:ilvl w:val="0"/>
          <w:numId w:val="6"/>
        </w:numPr>
        <w:rPr>
          <w:color w:val="000000"/>
          <w:szCs w:val="20"/>
        </w:rPr>
      </w:pPr>
      <w:r>
        <w:rPr>
          <w:color w:val="000000"/>
          <w:szCs w:val="20"/>
        </w:rPr>
        <w:t>Focus</w:t>
      </w:r>
    </w:p>
    <w:p>
      <w:pPr>
        <w:pStyle w:val="Normal"/>
        <w:numPr>
          <w:ilvl w:val="1"/>
          <w:numId w:val="6"/>
        </w:numPr>
        <w:rPr>
          <w:color w:val="000000"/>
          <w:szCs w:val="20"/>
        </w:rPr>
      </w:pPr>
      <w:r>
        <w:rPr>
          <w:color w:val="000000"/>
          <w:szCs w:val="20"/>
        </w:rPr>
        <w:t>NERC Security Coordinator procedures and standards for reliability for interconnected operations – real-time and day ahead.  Specification of relationship and reporting requirements between control areas.</w:t>
      </w:r>
    </w:p>
    <w:p>
      <w:pPr>
        <w:pStyle w:val="Normal"/>
        <w:rPr>
          <w:color w:val="000000"/>
          <w:szCs w:val="20"/>
        </w:rPr>
      </w:pPr>
      <w:r>
        <w:rPr>
          <w:color w:val="000000"/>
          <w:szCs w:val="20"/>
        </w:rPr>
      </w:r>
    </w:p>
    <w:p>
      <w:pPr>
        <w:pStyle w:val="Normal"/>
        <w:numPr>
          <w:ilvl w:val="0"/>
          <w:numId w:val="6"/>
        </w:numPr>
        <w:rPr>
          <w:color w:val="000000"/>
          <w:szCs w:val="20"/>
        </w:rPr>
      </w:pPr>
      <w:r>
        <w:rPr>
          <w:color w:val="000000"/>
          <w:szCs w:val="20"/>
        </w:rPr>
        <w:t xml:space="preserve">What we are doing </w:t>
      </w:r>
    </w:p>
    <w:p>
      <w:pPr>
        <w:pStyle w:val="Normal"/>
        <w:numPr>
          <w:ilvl w:val="1"/>
          <w:numId w:val="6"/>
        </w:numPr>
        <w:rPr>
          <w:color w:val="000000"/>
          <w:szCs w:val="20"/>
        </w:rPr>
      </w:pPr>
      <w:r>
        <w:rPr>
          <w:color w:val="000000"/>
          <w:szCs w:val="20"/>
        </w:rPr>
        <w:t>Pursue opportunities to reduce or mitigate the advantages of native load service and obtain higher degree of independence for Security Coordinators-particularly the vertical utility affiliated Security Coordinators.</w:t>
      </w:r>
    </w:p>
    <w:p>
      <w:pPr>
        <w:pStyle w:val="Normal"/>
        <w:numPr>
          <w:ilvl w:val="1"/>
          <w:numId w:val="6"/>
        </w:numPr>
        <w:rPr>
          <w:color w:val="000000"/>
          <w:szCs w:val="20"/>
        </w:rPr>
      </w:pPr>
      <w:r>
        <w:rPr>
          <w:color w:val="000000"/>
          <w:szCs w:val="20"/>
        </w:rPr>
        <w:t>Obtain more visibility into the NERC security process through development of NERC tools and disclosure/audit of TLR data.</w:t>
      </w:r>
    </w:p>
    <w:p>
      <w:pPr>
        <w:pStyle w:val="Normal"/>
        <w:rPr>
          <w:color w:val="000000"/>
          <w:szCs w:val="20"/>
        </w:rPr>
      </w:pPr>
      <w:r>
        <w:rPr>
          <w:color w:val="000000"/>
          <w:szCs w:val="20"/>
        </w:rPr>
      </w:r>
    </w:p>
    <w:p>
      <w:pPr>
        <w:pStyle w:val="Heading1"/>
        <w:ind w:hanging="0" w:start="0"/>
        <w:rPr/>
      </w:pPr>
      <w:r>
        <w:rPr/>
        <w:t>Flow Based Analysis Task Force</w:t>
      </w:r>
    </w:p>
    <w:p>
      <w:pPr>
        <w:pStyle w:val="Normal"/>
        <w:numPr>
          <w:ilvl w:val="0"/>
          <w:numId w:val="6"/>
        </w:numPr>
        <w:rPr>
          <w:color w:val="000000"/>
          <w:szCs w:val="20"/>
        </w:rPr>
      </w:pPr>
      <w:r>
        <w:rPr>
          <w:color w:val="000000"/>
          <w:szCs w:val="20"/>
        </w:rPr>
        <w:t>Focus</w:t>
      </w:r>
    </w:p>
    <w:p>
      <w:pPr>
        <w:pStyle w:val="Normal"/>
        <w:numPr>
          <w:ilvl w:val="1"/>
          <w:numId w:val="6"/>
        </w:numPr>
        <w:rPr>
          <w:color w:val="000000"/>
          <w:szCs w:val="20"/>
        </w:rPr>
      </w:pPr>
      <w:r>
        <w:rPr>
          <w:color w:val="000000"/>
          <w:szCs w:val="20"/>
        </w:rPr>
        <w:t xml:space="preserve">Develop a tool that will provide ability to forecast flowgate loadings for congestion management and ATC calculations. </w:t>
      </w:r>
    </w:p>
    <w:p>
      <w:pPr>
        <w:pStyle w:val="Normal"/>
        <w:numPr>
          <w:ilvl w:val="0"/>
          <w:numId w:val="6"/>
        </w:numPr>
        <w:rPr>
          <w:color w:val="000000"/>
          <w:szCs w:val="20"/>
        </w:rPr>
      </w:pPr>
      <w:r>
        <w:rPr>
          <w:color w:val="000000"/>
          <w:szCs w:val="20"/>
        </w:rPr>
        <w:t>What we are doing</w:t>
      </w:r>
    </w:p>
    <w:p>
      <w:pPr>
        <w:pStyle w:val="Normal"/>
        <w:numPr>
          <w:ilvl w:val="1"/>
          <w:numId w:val="6"/>
        </w:numPr>
        <w:rPr>
          <w:color w:val="000000"/>
          <w:szCs w:val="20"/>
        </w:rPr>
      </w:pPr>
      <w:r>
        <w:rPr>
          <w:color w:val="000000"/>
          <w:szCs w:val="20"/>
        </w:rPr>
        <w:t>Provide more data to the market, especially flow impacts of native and network loads which are not currently tagged and not visible to non-operators.</w:t>
      </w:r>
    </w:p>
    <w:p>
      <w:pPr>
        <w:pStyle w:val="Normal"/>
        <w:rPr>
          <w:color w:val="000000"/>
          <w:szCs w:val="20"/>
        </w:rPr>
      </w:pPr>
      <w:r>
        <w:rPr>
          <w:color w:val="000000"/>
          <w:szCs w:val="20"/>
        </w:rPr>
      </w:r>
    </w:p>
    <w:p>
      <w:pPr>
        <w:pStyle w:val="Normal"/>
        <w:rPr>
          <w:b/>
          <w:bCs/>
          <w:color w:val="000000"/>
          <w:szCs w:val="20"/>
        </w:rPr>
      </w:pPr>
      <w:r>
        <w:rPr>
          <w:b/>
          <w:bCs/>
          <w:color w:val="000000"/>
          <w:szCs w:val="20"/>
        </w:rPr>
      </w:r>
    </w:p>
    <w:p>
      <w:pPr>
        <w:pStyle w:val="Heading1"/>
        <w:ind w:hanging="0" w:start="0"/>
        <w:rPr/>
      </w:pPr>
      <w:r>
        <w:rPr/>
        <w:t>Flowgate Definition Working Group</w:t>
      </w:r>
    </w:p>
    <w:p>
      <w:pPr>
        <w:pStyle w:val="Normal"/>
        <w:numPr>
          <w:ilvl w:val="0"/>
          <w:numId w:val="4"/>
        </w:numPr>
        <w:rPr>
          <w:color w:val="000000"/>
          <w:szCs w:val="20"/>
        </w:rPr>
      </w:pPr>
      <w:r>
        <w:rPr>
          <w:color w:val="000000"/>
          <w:szCs w:val="20"/>
        </w:rPr>
        <w:t>Focus</w:t>
      </w:r>
    </w:p>
    <w:p>
      <w:pPr>
        <w:pStyle w:val="Normal"/>
        <w:numPr>
          <w:ilvl w:val="1"/>
          <w:numId w:val="4"/>
        </w:numPr>
        <w:rPr>
          <w:color w:val="000000"/>
          <w:szCs w:val="20"/>
        </w:rPr>
      </w:pPr>
      <w:r>
        <w:rPr>
          <w:color w:val="000000"/>
          <w:szCs w:val="20"/>
        </w:rPr>
        <w:t>Develop criteria to be used by Security Coordinators and transmission providers to define new flowgates for purposes of congestion management.</w:t>
      </w:r>
    </w:p>
    <w:p>
      <w:pPr>
        <w:pStyle w:val="Normal"/>
        <w:numPr>
          <w:ilvl w:val="0"/>
          <w:numId w:val="4"/>
        </w:numPr>
        <w:rPr>
          <w:color w:val="000000"/>
          <w:szCs w:val="20"/>
        </w:rPr>
      </w:pPr>
      <w:r>
        <w:rPr>
          <w:color w:val="000000"/>
          <w:szCs w:val="20"/>
        </w:rPr>
        <w:t>What we are doing</w:t>
      </w:r>
    </w:p>
    <w:p>
      <w:pPr>
        <w:pStyle w:val="Normal"/>
        <w:numPr>
          <w:ilvl w:val="1"/>
          <w:numId w:val="4"/>
        </w:numPr>
        <w:rPr>
          <w:color w:val="000000"/>
          <w:szCs w:val="20"/>
        </w:rPr>
      </w:pPr>
      <w:r>
        <w:rPr>
          <w:color w:val="000000"/>
          <w:szCs w:val="20"/>
        </w:rPr>
        <w:t>Implement high standards for adding flowgates to limit proliferation of flowgates that have no significant reliability purposes but would increase the number of TLRs.</w:t>
      </w:r>
    </w:p>
    <w:p>
      <w:pPr>
        <w:pStyle w:val="Normal"/>
        <w:rPr>
          <w:color w:val="000000"/>
          <w:szCs w:val="20"/>
        </w:rPr>
      </w:pPr>
      <w:r>
        <w:rPr>
          <w:color w:val="000000"/>
          <w:szCs w:val="20"/>
        </w:rPr>
      </w:r>
    </w:p>
    <w:p>
      <w:pPr>
        <w:pStyle w:val="Normal"/>
        <w:rPr>
          <w:color w:val="000000"/>
          <w:szCs w:val="20"/>
        </w:rPr>
      </w:pPr>
      <w:r>
        <w:rPr>
          <w:color w:val="000000"/>
          <w:szCs w:val="20"/>
        </w:rPr>
      </w:r>
    </w:p>
    <w:p>
      <w:pPr>
        <w:pStyle w:val="Heading1"/>
        <w:ind w:hanging="0" w:start="0"/>
        <w:rPr/>
      </w:pPr>
      <w:r>
        <w:rPr/>
        <w:t>NERC Board of Trustees &amp; Stakeholder Committee</w:t>
      </w:r>
    </w:p>
    <w:p>
      <w:pPr>
        <w:pStyle w:val="Normal"/>
        <w:numPr>
          <w:ilvl w:val="0"/>
          <w:numId w:val="8"/>
        </w:numPr>
        <w:rPr>
          <w:color w:val="000000"/>
          <w:szCs w:val="20"/>
        </w:rPr>
      </w:pPr>
      <w:r>
        <w:rPr>
          <w:color w:val="000000"/>
          <w:szCs w:val="20"/>
        </w:rPr>
        <w:t>Focus</w:t>
      </w:r>
    </w:p>
    <w:p>
      <w:pPr>
        <w:pStyle w:val="Normal"/>
        <w:numPr>
          <w:ilvl w:val="1"/>
          <w:numId w:val="8"/>
        </w:numPr>
        <w:rPr>
          <w:color w:val="000000"/>
          <w:szCs w:val="20"/>
        </w:rPr>
      </w:pPr>
      <w:r>
        <w:rPr>
          <w:color w:val="000000"/>
          <w:szCs w:val="20"/>
        </w:rPr>
        <w:t xml:space="preserve">Approval of all NERC policy and administrative issues.  </w:t>
      </w:r>
    </w:p>
    <w:p>
      <w:pPr>
        <w:pStyle w:val="Normal"/>
        <w:numPr>
          <w:ilvl w:val="1"/>
          <w:numId w:val="8"/>
        </w:numPr>
        <w:rPr>
          <w:color w:val="000000"/>
          <w:szCs w:val="20"/>
        </w:rPr>
      </w:pPr>
      <w:r>
        <w:rPr>
          <w:color w:val="000000"/>
          <w:szCs w:val="20"/>
        </w:rPr>
        <w:t>Stakehholder Committee is responsible for appointment of Board members and approval of changes to NERC By-Laws including NERC standards with compliance and enforcement penalties.</w:t>
      </w:r>
    </w:p>
    <w:p>
      <w:pPr>
        <w:pStyle w:val="Normal"/>
        <w:numPr>
          <w:ilvl w:val="1"/>
          <w:numId w:val="8"/>
        </w:numPr>
        <w:rPr>
          <w:color w:val="000000"/>
          <w:szCs w:val="20"/>
        </w:rPr>
      </w:pPr>
      <w:r>
        <w:rPr>
          <w:color w:val="000000"/>
          <w:szCs w:val="20"/>
        </w:rPr>
        <w:t>Jeffrey Skilling serves as a power marketer representative on the NERC Stakeholder Committee</w:t>
      </w:r>
    </w:p>
    <w:p>
      <w:pPr>
        <w:pStyle w:val="Normal"/>
        <w:ind w:start="1080" w:end="0"/>
        <w:rPr>
          <w:color w:val="000000"/>
          <w:szCs w:val="20"/>
        </w:rPr>
      </w:pPr>
      <w:r>
        <w:rPr>
          <w:color w:val="000000"/>
          <w:szCs w:val="20"/>
        </w:rPr>
      </w:r>
    </w:p>
    <w:p>
      <w:pPr>
        <w:pStyle w:val="Normal"/>
        <w:numPr>
          <w:ilvl w:val="0"/>
          <w:numId w:val="8"/>
        </w:numPr>
        <w:rPr>
          <w:color w:val="000000"/>
          <w:szCs w:val="20"/>
        </w:rPr>
      </w:pPr>
      <w:r>
        <w:rPr>
          <w:color w:val="000000"/>
          <w:szCs w:val="20"/>
        </w:rPr>
        <w:t>What we are doing</w:t>
      </w:r>
    </w:p>
    <w:p>
      <w:pPr>
        <w:pStyle w:val="Normal"/>
        <w:numPr>
          <w:ilvl w:val="1"/>
          <w:numId w:val="8"/>
        </w:numPr>
        <w:rPr>
          <w:color w:val="000000"/>
          <w:szCs w:val="20"/>
        </w:rPr>
      </w:pPr>
      <w:r>
        <w:rPr>
          <w:color w:val="000000"/>
          <w:szCs w:val="20"/>
        </w:rPr>
        <w:t>Monitor Board  activities and provide marketer perspectives to the independent Board Members</w:t>
      </w:r>
    </w:p>
    <w:p>
      <w:pPr>
        <w:pStyle w:val="Normal"/>
        <w:ind w:start="1080" w:end="0"/>
        <w:rPr>
          <w:color w:val="000000"/>
          <w:szCs w:val="20"/>
        </w:rPr>
      </w:pPr>
      <w:r>
        <w:rPr>
          <w:color w:val="000000"/>
          <w:szCs w:val="20"/>
        </w:rPr>
      </w:r>
    </w:p>
    <w:p>
      <w:pPr>
        <w:pStyle w:val="Normal"/>
        <w:numPr>
          <w:ilvl w:val="0"/>
          <w:numId w:val="8"/>
        </w:numPr>
        <w:rPr>
          <w:color w:val="000000"/>
          <w:szCs w:val="20"/>
        </w:rPr>
      </w:pPr>
      <w:r>
        <w:rPr>
          <w:color w:val="000000"/>
          <w:szCs w:val="20"/>
        </w:rPr>
        <w:t>Richard Ingersoll serves as proxy for Jeffrey Skilling on Stakeholder Committee</w:t>
      </w:r>
    </w:p>
    <w:p>
      <w:pPr>
        <w:pStyle w:val="Normal"/>
        <w:rPr>
          <w:color w:val="000000"/>
          <w:szCs w:val="20"/>
        </w:rPr>
      </w:pPr>
      <w:r>
        <w:rPr>
          <w:color w:val="000000"/>
          <w:szCs w:val="20"/>
        </w:rPr>
      </w:r>
    </w:p>
    <w:p>
      <w:pPr>
        <w:pStyle w:val="Normal"/>
        <w:rPr>
          <w:color w:val="000000"/>
          <w:szCs w:val="20"/>
        </w:rPr>
      </w:pPr>
      <w:r>
        <w:rPr>
          <w:color w:val="000000"/>
          <w:szCs w:val="20"/>
        </w:rPr>
      </w:r>
    </w:p>
    <w:p>
      <w:pPr>
        <w:pStyle w:val="Heading1"/>
        <w:ind w:hanging="0" w:start="0"/>
        <w:rPr/>
      </w:pPr>
      <w:r>
        <w:rPr/>
        <w:t>Andy Rodriquez Activities</w:t>
      </w:r>
    </w:p>
    <w:p>
      <w:pPr>
        <w:pStyle w:val="Normal"/>
        <w:rPr>
          <w:color w:val="000000"/>
          <w:szCs w:val="20"/>
        </w:rPr>
      </w:pPr>
      <w:r>
        <w:rPr>
          <w:color w:val="000000"/>
          <w:szCs w:val="20"/>
        </w:rPr>
      </w:r>
    </w:p>
    <w:p>
      <w:pPr>
        <w:pStyle w:val="Normal"/>
        <w:rPr>
          <w:b/>
          <w:bCs/>
        </w:rPr>
      </w:pPr>
      <w:r>
        <w:rPr>
          <w:b/>
          <w:bCs/>
        </w:rPr>
        <w:t>NERC TISWG (Transaction System Information Working Group) – reports to the Interchange Subcommittee</w:t>
      </w:r>
    </w:p>
    <w:p>
      <w:pPr>
        <w:pStyle w:val="Normal"/>
        <w:numPr>
          <w:ilvl w:val="0"/>
          <w:numId w:val="2"/>
        </w:numPr>
        <w:rPr/>
      </w:pPr>
      <w:r>
        <w:rPr/>
        <w:t>Focus</w:t>
      </w:r>
    </w:p>
    <w:p>
      <w:pPr>
        <w:pStyle w:val="Normal"/>
        <w:numPr>
          <w:ilvl w:val="1"/>
          <w:numId w:val="2"/>
        </w:numPr>
        <w:rPr/>
      </w:pPr>
      <w:r>
        <w:rPr/>
        <w:t>Responsible for the development and implementation of Electronic Tagging</w:t>
      </w:r>
    </w:p>
    <w:p>
      <w:pPr>
        <w:pStyle w:val="Normal"/>
        <w:numPr>
          <w:ilvl w:val="1"/>
          <w:numId w:val="2"/>
        </w:numPr>
        <w:rPr/>
      </w:pPr>
      <w:r>
        <w:rPr/>
        <w:t>Many providers have begun the process of using the tag as a schedule (SPP, MAPP, and many utilities) or plan to do so in the near future (SPP RTO, Alliance RTO, Midwest ISO).</w:t>
      </w:r>
    </w:p>
    <w:p>
      <w:pPr>
        <w:pStyle w:val="Normal"/>
        <w:rPr/>
      </w:pPr>
      <w:r>
        <w:rPr/>
      </w:r>
    </w:p>
    <w:p>
      <w:pPr>
        <w:pStyle w:val="Normal"/>
        <w:numPr>
          <w:ilvl w:val="0"/>
          <w:numId w:val="2"/>
        </w:numPr>
        <w:rPr/>
      </w:pPr>
      <w:r>
        <w:rPr/>
        <w:t>What we are doing</w:t>
      </w:r>
    </w:p>
    <w:p>
      <w:pPr>
        <w:pStyle w:val="Normal"/>
        <w:numPr>
          <w:ilvl w:val="1"/>
          <w:numId w:val="2"/>
        </w:numPr>
        <w:rPr/>
      </w:pPr>
      <w:r>
        <w:rPr/>
        <w:t>Andy’s participation allows Enron to introduce market issues, limit providers’ ability to place restrictions on the market, and generally keep us informed about the tools under which we must operate.</w:t>
      </w:r>
    </w:p>
    <w:p>
      <w:pPr>
        <w:pStyle w:val="Normal"/>
        <w:rPr/>
      </w:pPr>
      <w:r>
        <w:rPr/>
      </w:r>
    </w:p>
    <w:p>
      <w:pPr>
        <w:pStyle w:val="Normal"/>
        <w:numPr>
          <w:ilvl w:val="0"/>
          <w:numId w:val="2"/>
        </w:numPr>
        <w:rPr/>
      </w:pPr>
      <w:r>
        <w:rPr/>
        <w:t xml:space="preserve">Andy Rodriquez currently serves as Chair of this group.  </w:t>
      </w:r>
    </w:p>
    <w:p>
      <w:pPr>
        <w:pStyle w:val="Normal"/>
        <w:ind w:firstLine="60" w:end="0"/>
        <w:rPr/>
      </w:pPr>
      <w:r>
        <w:rPr/>
      </w:r>
    </w:p>
    <w:p>
      <w:pPr>
        <w:pStyle w:val="Normal"/>
        <w:rPr/>
      </w:pPr>
      <w:r>
        <w:rPr/>
      </w:r>
    </w:p>
    <w:p>
      <w:pPr>
        <w:pStyle w:val="Normal"/>
        <w:rPr>
          <w:b/>
          <w:bCs/>
        </w:rPr>
      </w:pPr>
      <w:r>
        <w:rPr>
          <w:b/>
          <w:bCs/>
        </w:rPr>
        <w:t>NERC-facilitated  ESC (Electronic Scheduling Collaborative)</w:t>
      </w:r>
    </w:p>
    <w:p>
      <w:pPr>
        <w:pStyle w:val="Normal"/>
        <w:numPr>
          <w:ilvl w:val="0"/>
          <w:numId w:val="9"/>
        </w:numPr>
        <w:rPr/>
      </w:pPr>
      <w:r>
        <w:rPr/>
        <w:t>Focus</w:t>
      </w:r>
    </w:p>
    <w:p>
      <w:pPr>
        <w:pStyle w:val="Normal"/>
        <w:numPr>
          <w:ilvl w:val="1"/>
          <w:numId w:val="9"/>
        </w:numPr>
        <w:rPr/>
      </w:pPr>
      <w:r>
        <w:rPr/>
        <w:t xml:space="preserve">Responsible for the development of “Functional Requirements” and Business Practices for OASIS Phase II.  </w:t>
      </w:r>
    </w:p>
    <w:p>
      <w:pPr>
        <w:pStyle w:val="Normal"/>
        <w:rPr/>
      </w:pPr>
      <w:r>
        <w:rPr/>
      </w:r>
    </w:p>
    <w:p>
      <w:pPr>
        <w:pStyle w:val="Normal"/>
        <w:numPr>
          <w:ilvl w:val="0"/>
          <w:numId w:val="9"/>
        </w:numPr>
        <w:rPr/>
      </w:pPr>
      <w:r>
        <w:rPr/>
        <w:t>What we are doing</w:t>
      </w:r>
    </w:p>
    <w:p>
      <w:pPr>
        <w:pStyle w:val="Normal"/>
        <w:numPr>
          <w:ilvl w:val="1"/>
          <w:numId w:val="9"/>
        </w:numPr>
        <w:rPr/>
      </w:pPr>
      <w:r>
        <w:rPr/>
        <w:t>Andy’s participation allows Enron to effectively have two voices on the ESC (in conjunction with Charles Yeung) to speak from market perspectives, limit providers’ ability to place restrictions on the market, provide technical direction to the group for their incorporation in solution proposals, and generally keep us informed about the tools under which we must operate.</w:t>
      </w:r>
    </w:p>
    <w:p>
      <w:pPr>
        <w:pStyle w:val="Normal"/>
        <w:rPr/>
      </w:pPr>
      <w:r>
        <w:rPr/>
      </w:r>
    </w:p>
    <w:p>
      <w:pPr>
        <w:pStyle w:val="Normal"/>
        <w:numPr>
          <w:ilvl w:val="0"/>
          <w:numId w:val="9"/>
        </w:numPr>
        <w:rPr/>
      </w:pPr>
      <w:r>
        <w:rPr/>
        <w:t xml:space="preserve">Andy Roriquez currently serves as Technical Liaison of this group from the TISWG.  </w:t>
      </w:r>
    </w:p>
    <w:p>
      <w:pPr>
        <w:pStyle w:val="Normal"/>
        <w:rPr/>
      </w:pPr>
      <w:r>
        <w:rPr/>
      </w:r>
    </w:p>
    <w:p>
      <w:pPr>
        <w:pStyle w:val="Normal"/>
        <w:rPr>
          <w:b/>
          <w:bCs/>
        </w:rPr>
      </w:pPr>
      <w:r>
        <w:rPr>
          <w:b/>
          <w:bCs/>
        </w:rPr>
        <w:t>NERC-facillitated  OSC (OASIS Standards Collaborative)</w:t>
      </w:r>
    </w:p>
    <w:p>
      <w:pPr>
        <w:pStyle w:val="Normal"/>
        <w:numPr>
          <w:ilvl w:val="0"/>
          <w:numId w:val="13"/>
        </w:numPr>
        <w:rPr/>
      </w:pPr>
      <w:r>
        <w:rPr/>
        <w:t>Focus</w:t>
      </w:r>
    </w:p>
    <w:p>
      <w:pPr>
        <w:pStyle w:val="Normal"/>
        <w:numPr>
          <w:ilvl w:val="1"/>
          <w:numId w:val="13"/>
        </w:numPr>
        <w:rPr/>
      </w:pPr>
      <w:r>
        <w:rPr/>
        <w:t>Responsible for the development of the “Standards and Communications Protocols” for OASIS Phase II.</w:t>
      </w:r>
    </w:p>
    <w:p>
      <w:pPr>
        <w:pStyle w:val="Normal"/>
        <w:rPr/>
      </w:pPr>
      <w:r>
        <w:rPr/>
      </w:r>
    </w:p>
    <w:p>
      <w:pPr>
        <w:pStyle w:val="Normal"/>
        <w:numPr>
          <w:ilvl w:val="0"/>
          <w:numId w:val="13"/>
        </w:numPr>
        <w:rPr/>
      </w:pPr>
      <w:r>
        <w:rPr/>
        <w:t>What we are doing</w:t>
      </w:r>
    </w:p>
    <w:p>
      <w:pPr>
        <w:pStyle w:val="Normal"/>
        <w:numPr>
          <w:ilvl w:val="1"/>
          <w:numId w:val="13"/>
        </w:numPr>
        <w:rPr/>
      </w:pPr>
      <w:r>
        <w:rPr/>
        <w:t>Andy’s participation allows Enron to introduce market issues, limit providers’ ability to place restrictions on the market, and generally keep us informed about the tools under which we must operate.</w:t>
      </w:r>
    </w:p>
    <w:p>
      <w:pPr>
        <w:pStyle w:val="Normal"/>
        <w:rPr/>
      </w:pPr>
      <w:r>
        <w:rPr/>
      </w:r>
    </w:p>
    <w:p>
      <w:pPr>
        <w:pStyle w:val="Normal"/>
        <w:numPr>
          <w:ilvl w:val="0"/>
          <w:numId w:val="13"/>
        </w:numPr>
        <w:rPr/>
      </w:pPr>
      <w:r>
        <w:rPr/>
        <w:t xml:space="preserve">Andy Rodriquez currently serves as Vice-Chair of this group.  </w:t>
      </w:r>
    </w:p>
    <w:p>
      <w:pPr>
        <w:pStyle w:val="Normal"/>
        <w:rPr>
          <w:color w:val="000000"/>
          <w:szCs w:val="20"/>
        </w:rPr>
      </w:pPr>
      <w:r>
        <w:rPr>
          <w:color w:val="000000"/>
          <w:szCs w:val="20"/>
        </w:rPr>
      </w:r>
    </w:p>
    <w:p>
      <w:pPr>
        <w:pStyle w:val="Normal"/>
        <w:rPr>
          <w:color w:val="000000"/>
          <w:szCs w:val="20"/>
        </w:rPr>
      </w:pPr>
      <w:r>
        <w:rPr>
          <w:color w:val="000000"/>
          <w:szCs w:val="20"/>
        </w:rPr>
      </w:r>
    </w:p>
    <w:p>
      <w:pPr>
        <w:pStyle w:val="Normal"/>
        <w:rPr>
          <w:color w:val="000000"/>
          <w:szCs w:val="20"/>
        </w:rPr>
      </w:pPr>
      <w:r>
        <w:rPr>
          <w:color w:val="000000"/>
          <w:szCs w:val="20"/>
        </w:rPr>
      </w:r>
    </w:p>
    <w:p>
      <w:pPr>
        <w:pStyle w:val="Normal"/>
        <w:rPr>
          <w:b/>
          <w:bCs/>
          <w:color w:val="000000"/>
          <w:szCs w:val="20"/>
        </w:rPr>
      </w:pPr>
      <w:r>
        <w:rPr>
          <w:b/>
          <w:bCs/>
          <w:color w:val="000000"/>
          <w:szCs w:val="20"/>
        </w:rPr>
        <w:t>Other NERC Efforts, etc.</w:t>
      </w:r>
    </w:p>
    <w:p>
      <w:pPr>
        <w:pStyle w:val="Normal"/>
        <w:rPr>
          <w:b/>
          <w:bCs/>
          <w:color w:val="000000"/>
          <w:szCs w:val="20"/>
        </w:rPr>
      </w:pPr>
      <w:r>
        <w:rPr>
          <w:b/>
          <w:bCs/>
          <w:color w:val="000000"/>
          <w:szCs w:val="20"/>
        </w:rPr>
      </w:r>
    </w:p>
    <w:p>
      <w:pPr>
        <w:pStyle w:val="Normal"/>
        <w:rPr/>
      </w:pPr>
      <w:r>
        <w:rPr>
          <w:b/>
          <w:bCs/>
          <w:color w:val="000000"/>
          <w:szCs w:val="20"/>
        </w:rPr>
        <w:t>Bill Rust</w:t>
      </w:r>
      <w:r>
        <w:rPr>
          <w:color w:val="000000"/>
          <w:szCs w:val="20"/>
        </w:rPr>
        <w:t xml:space="preserve"> from the East Power Desk – has been actively involved in a task force formed to develop a methodology to measure the parallel flows if native/network service, the Parallel Flows Task Force (PFTF)</w:t>
      </w:r>
    </w:p>
    <w:p>
      <w:pPr>
        <w:pStyle w:val="Normal"/>
        <w:rPr>
          <w:color w:val="000000"/>
          <w:szCs w:val="20"/>
        </w:rPr>
      </w:pPr>
      <w:r>
        <w:rPr>
          <w:color w:val="000000"/>
          <w:szCs w:val="20"/>
        </w:rPr>
      </w:r>
    </w:p>
    <w:p>
      <w:pPr>
        <w:pStyle w:val="Heading1"/>
        <w:ind w:hanging="0" w:start="0"/>
        <w:rPr/>
      </w:pPr>
      <w:r>
        <w:rPr/>
        <w:t>The TCCG (Transmission Customer Coordination Group) – an independent group</w:t>
      </w:r>
    </w:p>
    <w:p>
      <w:pPr>
        <w:pStyle w:val="BodyText"/>
        <w:rPr/>
      </w:pPr>
      <w:r>
        <w:rPr/>
        <w:t>Enron is participating in a voluntary group of transmission customers who attend and/or follow NERC activities.  The Transmission Customer Coordination Group is open and informal group open to any transmission customer.  One of the strengths of the TCCG is the ability to gather votes by working jointly to sway NERC viewpoints at meetings.</w:t>
      </w:r>
    </w:p>
    <w:p>
      <w:pPr>
        <w:pStyle w:val="Normal"/>
        <w:rPr>
          <w:color w:val="000000"/>
          <w:szCs w:val="20"/>
        </w:rPr>
      </w:pPr>
      <w:r>
        <w:rPr>
          <w:color w:val="000000"/>
          <w:szCs w:val="20"/>
        </w:rPr>
      </w:r>
    </w:p>
    <w:p>
      <w:pPr>
        <w:pStyle w:val="BodyText2"/>
        <w:rPr/>
      </w:pPr>
      <w:r>
        <w:rPr/>
        <w:t xml:space="preserve">Market Interface Practices Subcommittee (reports to the MIC) - No Enron representation </w:t>
      </w:r>
    </w:p>
    <w:p>
      <w:pPr>
        <w:pStyle w:val="Normal"/>
        <w:rPr>
          <w:color w:val="000000"/>
          <w:szCs w:val="20"/>
        </w:rPr>
      </w:pPr>
      <w:r>
        <w:rPr>
          <w:color w:val="000000"/>
          <w:szCs w:val="20"/>
        </w:rPr>
        <w:br/>
        <w:t xml:space="preserve">Addresses issues related to business practices for tag requirements and for OASIS reservation requirements.  The focus is to ensure rules for the market/reliability interface are not intrusive to market operations and are most efficient.  </w:t>
      </w:r>
    </w:p>
    <w:p>
      <w:pPr>
        <w:pStyle w:val="Normal"/>
        <w:rPr>
          <w:color w:val="000000"/>
          <w:szCs w:val="20"/>
        </w:rPr>
      </w:pPr>
      <w:r>
        <w:rPr>
          <w:color w:val="000000"/>
          <w:szCs w:val="20"/>
        </w:rPr>
      </w:r>
    </w:p>
    <w:p>
      <w:pPr>
        <w:pStyle w:val="Heading2"/>
        <w:ind w:hanging="0" w:start="0"/>
        <w:rPr/>
      </w:pPr>
      <w:r>
        <w:rPr/>
        <w:t>Long Term Issues Subcommittee (reports to the MIC) - No Enron representation</w:t>
      </w:r>
    </w:p>
    <w:p>
      <w:pPr>
        <w:pStyle w:val="Normal"/>
        <w:rPr/>
      </w:pPr>
      <w:r>
        <w:rPr/>
      </w:r>
    </w:p>
    <w:p>
      <w:pPr>
        <w:pStyle w:val="Normal"/>
        <w:rPr/>
      </w:pPr>
      <w:r>
        <w:rPr/>
        <w:t>Addresses issues related to the development of a future NERC relationship with the marketplace and RTOs which in the past (and today) are assumed to not have market impacts. With the developing open markets, all reliability requirements must recognize commercial value. These may include generator interconnection requirements and reserve requirements.</w:t>
      </w:r>
    </w:p>
    <w:p>
      <w:pPr>
        <w:pStyle w:val="Normal"/>
        <w:rPr>
          <w:color w:val="000000"/>
          <w:szCs w:val="20"/>
        </w:rPr>
      </w:pPr>
      <w:r>
        <w:rPr>
          <w:color w:val="000000"/>
          <w:szCs w:val="20"/>
        </w:rPr>
      </w:r>
    </w:p>
    <w:p>
      <w:pPr>
        <w:pStyle w:val="Heading1"/>
        <w:ind w:hanging="0" w:start="0"/>
        <w:rPr/>
      </w:pPr>
      <w:r>
        <w:rPr/>
        <w:t>What Enron Does not Need to Do</w:t>
      </w:r>
    </w:p>
    <w:p>
      <w:pPr>
        <w:pStyle w:val="Normal"/>
        <w:rPr>
          <w:color w:val="000000"/>
          <w:szCs w:val="20"/>
        </w:rPr>
      </w:pPr>
      <w:r>
        <w:rPr>
          <w:color w:val="000000"/>
          <w:szCs w:val="20"/>
        </w:rPr>
      </w:r>
    </w:p>
    <w:p>
      <w:pPr>
        <w:pStyle w:val="Normal"/>
        <w:tabs>
          <w:tab w:val="clear" w:pos="720"/>
          <w:tab w:val="left" w:pos="6480" w:leader="none"/>
        </w:tabs>
        <w:rPr>
          <w:b/>
          <w:bCs/>
        </w:rPr>
      </w:pPr>
      <w:r>
        <w:rPr>
          <w:b/>
          <w:bCs/>
        </w:rPr>
        <w:t>Transmission Subcommittee (reports to the OC)</w:t>
      </w:r>
    </w:p>
    <w:p>
      <w:pPr>
        <w:pStyle w:val="Normal"/>
        <w:tabs>
          <w:tab w:val="clear" w:pos="720"/>
          <w:tab w:val="left" w:pos="6480" w:leader="none"/>
        </w:tabs>
        <w:rPr>
          <w:b/>
          <w:bCs/>
        </w:rPr>
      </w:pPr>
      <w:r>
        <w:rPr>
          <w:b/>
          <w:bCs/>
        </w:rPr>
      </w:r>
    </w:p>
    <w:p>
      <w:pPr>
        <w:pStyle w:val="Normal"/>
        <w:rPr/>
      </w:pPr>
      <w:r>
        <w:rPr/>
        <w:t xml:space="preserve">There are 3 Standing Committees, each one having established subcommittees and task forces.  Enron has staff on the most critical ones as noted already.  Currently, </w:t>
      </w:r>
      <w:r>
        <w:rPr>
          <w:b/>
          <w:bCs/>
        </w:rPr>
        <w:t>Steve Walton</w:t>
      </w:r>
      <w:r>
        <w:rPr/>
        <w:t xml:space="preserve"> sits on the Transmission Subcommittee, reporting to the Operating Committee.  This subcommittee does not deal with an Operating Policy as “dynamic” as the ones noted above and does not require full time attention of an Enron sponsored voting member.</w:t>
      </w:r>
    </w:p>
    <w:p>
      <w:pPr>
        <w:pStyle w:val="Footer"/>
        <w:tabs>
          <w:tab w:val="clear" w:pos="4320"/>
          <w:tab w:val="clear" w:pos="8640"/>
        </w:tabs>
        <w:rPr/>
      </w:pPr>
      <w:r>
        <w:rPr/>
      </w:r>
    </w:p>
    <w:p>
      <w:pPr>
        <w:pStyle w:val="Normal"/>
        <w:rPr/>
      </w:pPr>
      <w:r>
        <w:rPr>
          <w:b/>
          <w:bCs/>
        </w:rPr>
        <w:t>Security Coordinator Working Group</w:t>
      </w:r>
      <w:r>
        <w:rPr/>
        <w:t xml:space="preserve"> – </w:t>
      </w:r>
      <w:r>
        <w:rPr>
          <w:b/>
          <w:bCs/>
        </w:rPr>
        <w:t>Charles Yeung</w:t>
      </w:r>
      <w:r>
        <w:rPr/>
        <w:t xml:space="preserve"> was a member of the progenitor to the new balanced Security Subcommittee.  In the reformation to the Security Subcommittee (R. Ingersoll), many members of the former group were moved the newly formed Security Working Group.  This group was formed to retain a forum for all Security Coordinators since some were displaced from the new Security Subcommittee due to the limitation of seats.  This is mostly a monitoring function for Enron since all decisions of this working group need parent approval (the Security Subcommittee).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ms Rmn">
    <w:altName w:val="Times New Roman"/>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000000"/>
      <w:szCs w:val="20"/>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5">
    <w:name w:val="WW8Num6z5"/>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autoSpaceDE w:val="false"/>
      <w:spacing w:lineRule="atLeast" w:line="240"/>
      <w:jc w:val="center"/>
    </w:pPr>
    <w:rPr>
      <w:rFonts w:ascii="Tms Rmn;Times New Roman" w:hAnsi="Tms Rmn;Times New Roman" w:cs="Tms Rmn;Times New Roman"/>
      <w:b/>
      <w:bCs/>
      <w:sz w:val="28"/>
    </w:rPr>
  </w:style>
  <w:style w:type="paragraph" w:styleId="BodyText">
    <w:name w:val="Body Text"/>
    <w:basedOn w:val="Normal"/>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bCs/>
      <w:color w:val="00000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2001-05-08T15:41:00Z</dcterms:created>
  <dc:creator>cyeung</dc:creator>
  <dc:description/>
  <dc:language>en-CA</dc:language>
  <cp:lastModifiedBy>cyeung</cp:lastModifiedBy>
  <cp:lastPrinted>2001-05-15T08:37:00Z</cp:lastPrinted>
  <dcterms:modified xsi:type="dcterms:W3CDTF">2001-05-15T11:33:00Z</dcterms:modified>
  <cp:revision>115</cp:revision>
  <dc:subject/>
  <dc:title>Enron Govt Affairs NERC Activities and Issues</dc:title>
</cp:coreProperties>
</file>