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jc w:val="center"/>
        <w:rPr>
          <w:sz w:val="32"/>
        </w:rPr>
      </w:pPr>
      <w:r>
        <w:rPr>
          <w:sz w:val="32"/>
        </w:rPr>
        <w:t>Statement of Work</w:t>
      </w:r>
    </w:p>
    <w:p>
      <w:pPr>
        <w:pStyle w:val="Normal"/>
        <w:jc w:val="center"/>
        <w:rPr>
          <w:i/>
          <w:i/>
        </w:rPr>
      </w:pPr>
      <w:r>
        <w:rPr>
          <w:i/>
        </w:rPr>
        <w:t>Revision 1.0</w:t>
      </w:r>
    </w:p>
    <w:p>
      <w:pPr>
        <w:pStyle w:val="Normal"/>
        <w:rPr>
          <w:i/>
          <w:i/>
        </w:rPr>
      </w:pPr>
      <w:r>
        <w:rPr>
          <w:i/>
        </w:rPr>
      </w:r>
    </w:p>
    <w:p>
      <w:pPr>
        <w:pStyle w:val="Normal"/>
        <w:rPr>
          <w:sz w:val="16"/>
        </w:rPr>
      </w:pPr>
      <w:r>
        <w:rPr>
          <w:sz w:val="16"/>
        </w:rPr>
        <w:t>This Statement of Work is valid only for projects with a duly executed Professional Services Agreement or Master Sales Agreement in good standing with Exodus Communications.</w:t>
      </w:r>
    </w:p>
    <w:p>
      <w:pPr>
        <w:pStyle w:val="Normal"/>
        <w:rPr>
          <w:sz w:val="16"/>
        </w:rPr>
      </w:pPr>
      <w:r>
        <w:rPr>
          <w:sz w:val="16"/>
        </w:rPr>
      </w:r>
    </w:p>
    <w:p>
      <w:pPr>
        <w:pStyle w:val="Normal"/>
        <w:rPr>
          <w:sz w:val="16"/>
        </w:rPr>
      </w:pPr>
      <w:r>
        <w:rPr>
          <w:sz w:val="16"/>
        </w:rPr>
      </w:r>
    </w:p>
    <w:tbl>
      <w:tblPr>
        <w:tblW w:w="10710" w:type="dxa"/>
        <w:jc w:val="start"/>
        <w:tblInd w:w="108" w:type="dxa"/>
        <w:tblLayout w:type="fixed"/>
        <w:tblCellMar>
          <w:top w:w="0" w:type="dxa"/>
          <w:start w:w="108" w:type="dxa"/>
          <w:bottom w:w="0" w:type="dxa"/>
          <w:end w:w="108" w:type="dxa"/>
        </w:tblCellMar>
      </w:tblPr>
      <w:tblGrid>
        <w:gridCol w:w="2430"/>
        <w:gridCol w:w="1890"/>
        <w:gridCol w:w="1620"/>
        <w:gridCol w:w="2250"/>
        <w:gridCol w:w="1350"/>
        <w:gridCol w:w="1170"/>
      </w:tblGrid>
      <w:tr>
        <w:trPr/>
        <w:tc>
          <w:tcPr>
            <w:tcW w:w="2430" w:type="dxa"/>
            <w:tcBorders>
              <w:top w:val="single" w:sz="12" w:space="0" w:color="000000"/>
              <w:start w:val="single" w:sz="12" w:space="0" w:color="000000"/>
            </w:tcBorders>
            <w:shd w:fill="DFDFDF" w:val="clear"/>
          </w:tcPr>
          <w:p>
            <w:pPr>
              <w:pStyle w:val="TOC1"/>
              <w:rPr/>
            </w:pPr>
            <w:r>
              <w:rPr/>
              <w:t>Customer Name:</w:t>
            </w:r>
          </w:p>
        </w:tc>
        <w:tc>
          <w:tcPr>
            <w:tcW w:w="1890" w:type="dxa"/>
            <w:tcBorders>
              <w:top w:val="single" w:sz="12" w:space="0" w:color="000000"/>
              <w:end w:val="single" w:sz="12" w:space="0" w:color="000000"/>
            </w:tcBorders>
          </w:tcPr>
          <w:p>
            <w:pPr>
              <w:pStyle w:val="Normal"/>
              <w:rPr>
                <w:sz w:val="16"/>
              </w:rPr>
            </w:pPr>
            <w:r>
              <w:rPr>
                <w:sz w:val="16"/>
              </w:rPr>
              <w:t>Enron eMarket Services</w:t>
            </w:r>
          </w:p>
        </w:tc>
        <w:tc>
          <w:tcPr>
            <w:tcW w:w="1620" w:type="dxa"/>
            <w:tcBorders>
              <w:top w:val="single" w:sz="12" w:space="0" w:color="000000"/>
            </w:tcBorders>
            <w:shd w:fill="DFDFDF" w:val="clear"/>
          </w:tcPr>
          <w:p>
            <w:pPr>
              <w:pStyle w:val="TOC1"/>
              <w:rPr/>
            </w:pPr>
            <w:r>
              <w:rPr/>
              <w:t>Project Name:</w:t>
            </w:r>
          </w:p>
        </w:tc>
        <w:tc>
          <w:tcPr>
            <w:tcW w:w="2250" w:type="dxa"/>
            <w:tcBorders>
              <w:top w:val="single" w:sz="12" w:space="0" w:color="000000"/>
              <w:end w:val="single" w:sz="12" w:space="0" w:color="000000"/>
            </w:tcBorders>
          </w:tcPr>
          <w:p>
            <w:pPr>
              <w:pStyle w:val="Normal"/>
              <w:rPr>
                <w:sz w:val="16"/>
              </w:rPr>
            </w:pPr>
            <w:r>
              <w:rPr>
                <w:sz w:val="16"/>
              </w:rPr>
              <w:t>eMarketplace Strategic Program</w:t>
            </w:r>
          </w:p>
        </w:tc>
        <w:tc>
          <w:tcPr>
            <w:tcW w:w="1350" w:type="dxa"/>
            <w:tcBorders>
              <w:top w:val="single" w:sz="12" w:space="0" w:color="000000"/>
            </w:tcBorders>
            <w:shd w:fill="DFDFDF" w:val="clear"/>
          </w:tcPr>
          <w:p>
            <w:pPr>
              <w:pStyle w:val="TOC1"/>
              <w:rPr/>
            </w:pPr>
            <w:r>
              <w:rPr/>
              <w:t>Seibel  SO #:</w:t>
            </w:r>
          </w:p>
        </w:tc>
        <w:tc>
          <w:tcPr>
            <w:tcW w:w="1170" w:type="dxa"/>
            <w:tcBorders>
              <w:top w:val="single" w:sz="12" w:space="0" w:color="000000"/>
              <w:end w:val="single" w:sz="12" w:space="0" w:color="000000"/>
            </w:tcBorders>
          </w:tcPr>
          <w:p>
            <w:pPr>
              <w:pStyle w:val="Normal"/>
              <w:snapToGrid w:val="false"/>
              <w:rPr>
                <w:sz w:val="16"/>
              </w:rPr>
            </w:pPr>
            <w:r>
              <w:rPr>
                <w:sz w:val="16"/>
              </w:rPr>
            </w:r>
          </w:p>
        </w:tc>
      </w:tr>
      <w:tr>
        <w:trPr/>
        <w:tc>
          <w:tcPr>
            <w:tcW w:w="2430" w:type="dxa"/>
            <w:tcBorders>
              <w:top w:val="single" w:sz="12" w:space="0" w:color="000000"/>
              <w:start w:val="single" w:sz="12" w:space="0" w:color="000000"/>
            </w:tcBorders>
            <w:shd w:fill="DFDFDF" w:val="clear"/>
          </w:tcPr>
          <w:p>
            <w:pPr>
              <w:pStyle w:val="TOC1"/>
              <w:rPr/>
            </w:pPr>
            <w:r>
              <w:rPr/>
              <w:t>Exodus Part  #:</w:t>
            </w:r>
          </w:p>
        </w:tc>
        <w:tc>
          <w:tcPr>
            <w:tcW w:w="1890" w:type="dxa"/>
            <w:tcBorders>
              <w:top w:val="single" w:sz="12" w:space="0" w:color="000000"/>
              <w:end w:val="single" w:sz="12" w:space="0" w:color="000000"/>
            </w:tcBorders>
          </w:tcPr>
          <w:p>
            <w:pPr>
              <w:pStyle w:val="Normal"/>
              <w:rPr>
                <w:sz w:val="16"/>
              </w:rPr>
            </w:pPr>
            <w:r>
              <w:rPr>
                <w:sz w:val="16"/>
              </w:rPr>
              <w:t>(see below)</w:t>
            </w:r>
          </w:p>
        </w:tc>
        <w:tc>
          <w:tcPr>
            <w:tcW w:w="1620" w:type="dxa"/>
            <w:tcBorders>
              <w:top w:val="single" w:sz="12" w:space="0" w:color="000000"/>
            </w:tcBorders>
            <w:shd w:fill="DFDFDF" w:val="clear"/>
          </w:tcPr>
          <w:p>
            <w:pPr>
              <w:pStyle w:val="TOC1"/>
              <w:rPr/>
            </w:pPr>
            <w:r>
              <w:rPr/>
              <w:t>Date Prepared:</w:t>
            </w:r>
          </w:p>
        </w:tc>
        <w:tc>
          <w:tcPr>
            <w:tcW w:w="2250" w:type="dxa"/>
            <w:tcBorders>
              <w:top w:val="single" w:sz="12" w:space="0" w:color="000000"/>
              <w:bottom w:val="single" w:sz="12" w:space="0" w:color="000000"/>
              <w:end w:val="single" w:sz="12" w:space="0" w:color="000000"/>
            </w:tcBorders>
          </w:tcPr>
          <w:p>
            <w:pPr>
              <w:pStyle w:val="Normal"/>
              <w:rPr>
                <w:sz w:val="16"/>
              </w:rPr>
            </w:pPr>
            <w:r>
              <w:rPr>
                <w:sz w:val="16"/>
              </w:rPr>
              <w:t>10/18/00</w:t>
            </w:r>
          </w:p>
        </w:tc>
        <w:tc>
          <w:tcPr>
            <w:tcW w:w="1350" w:type="dxa"/>
            <w:tcBorders>
              <w:top w:val="single" w:sz="12" w:space="0" w:color="000000"/>
            </w:tcBorders>
            <w:shd w:fill="DFDFDF" w:val="clear"/>
          </w:tcPr>
          <w:p>
            <w:pPr>
              <w:pStyle w:val="Normal"/>
              <w:jc w:val="center"/>
              <w:rPr>
                <w:b/>
              </w:rPr>
            </w:pPr>
            <w:r>
              <w:rPr>
                <w:b/>
              </w:rPr>
              <w:t>Notes</w:t>
            </w:r>
          </w:p>
        </w:tc>
        <w:tc>
          <w:tcPr>
            <w:tcW w:w="1170" w:type="dxa"/>
            <w:tcBorders>
              <w:top w:val="single" w:sz="12" w:space="0" w:color="000000"/>
              <w:bottom w:val="dotted" w:sz="4" w:space="0" w:color="C0C0C0"/>
              <w:end w:val="single" w:sz="12" w:space="0" w:color="000000"/>
            </w:tcBorders>
          </w:tcPr>
          <w:p>
            <w:pPr>
              <w:pStyle w:val="Normal"/>
              <w:snapToGrid w:val="false"/>
              <w:rPr>
                <w:b/>
                <w:sz w:val="16"/>
              </w:rPr>
            </w:pPr>
            <w:r>
              <w:rPr>
                <w:b/>
                <w:sz w:val="16"/>
              </w:rPr>
            </w:r>
          </w:p>
        </w:tc>
      </w:tr>
      <w:tr>
        <w:trPr/>
        <w:tc>
          <w:tcPr>
            <w:tcW w:w="2430" w:type="dxa"/>
            <w:tcBorders>
              <w:top w:val="single" w:sz="12" w:space="0" w:color="000000"/>
              <w:start w:val="single" w:sz="12" w:space="0" w:color="000000"/>
              <w:bottom w:val="single" w:sz="12" w:space="0" w:color="000000"/>
            </w:tcBorders>
            <w:shd w:fill="DFDFDF" w:val="clear"/>
          </w:tcPr>
          <w:p>
            <w:pPr>
              <w:pStyle w:val="TOC1"/>
              <w:rPr/>
            </w:pPr>
            <w:r>
              <w:rPr/>
              <w:t xml:space="preserve">Exodus Service Director: </w:t>
            </w:r>
          </w:p>
        </w:tc>
        <w:tc>
          <w:tcPr>
            <w:tcW w:w="1890" w:type="dxa"/>
            <w:tcBorders>
              <w:top w:val="single" w:sz="12" w:space="0" w:color="000000"/>
              <w:start w:val="dotted" w:sz="4" w:space="0" w:color="C0C0C0"/>
              <w:bottom w:val="single" w:sz="12" w:space="0" w:color="000000"/>
              <w:end w:val="dotted" w:sz="4" w:space="0" w:color="C0C0C0"/>
            </w:tcBorders>
          </w:tcPr>
          <w:p>
            <w:pPr>
              <w:pStyle w:val="Normal"/>
              <w:rPr>
                <w:sz w:val="16"/>
              </w:rPr>
            </w:pPr>
            <w:r>
              <w:rPr>
                <w:sz w:val="16"/>
              </w:rPr>
              <w:t>Dwight Alford</w:t>
            </w:r>
          </w:p>
        </w:tc>
        <w:tc>
          <w:tcPr>
            <w:tcW w:w="1620" w:type="dxa"/>
            <w:tcBorders>
              <w:top w:val="single" w:sz="12" w:space="0" w:color="000000"/>
              <w:bottom w:val="single" w:sz="12" w:space="0" w:color="000000"/>
              <w:end w:val="dotted" w:sz="4" w:space="0" w:color="C0C0C0"/>
            </w:tcBorders>
          </w:tcPr>
          <w:p>
            <w:pPr>
              <w:pStyle w:val="Normal"/>
              <w:snapToGrid w:val="false"/>
              <w:rPr>
                <w:sz w:val="16"/>
              </w:rPr>
            </w:pPr>
            <w:r>
              <w:rPr>
                <w:sz w:val="16"/>
              </w:rPr>
            </w:r>
          </w:p>
        </w:tc>
        <w:tc>
          <w:tcPr>
            <w:tcW w:w="2250" w:type="dxa"/>
            <w:tcBorders>
              <w:bottom w:val="single" w:sz="12" w:space="0" w:color="000000"/>
              <w:end w:val="single" w:sz="12" w:space="0" w:color="000000"/>
            </w:tcBorders>
          </w:tcPr>
          <w:p>
            <w:pPr>
              <w:pStyle w:val="Normal"/>
              <w:snapToGrid w:val="false"/>
              <w:rPr>
                <w:sz w:val="16"/>
              </w:rPr>
            </w:pPr>
            <w:r>
              <w:rPr>
                <w:sz w:val="16"/>
              </w:rPr>
            </w:r>
          </w:p>
        </w:tc>
        <w:tc>
          <w:tcPr>
            <w:tcW w:w="1350" w:type="dxa"/>
            <w:tcBorders>
              <w:top w:val="dotted" w:sz="4" w:space="0" w:color="C0C0C0"/>
              <w:bottom w:val="dotted" w:sz="4" w:space="0" w:color="C0C0C0"/>
            </w:tcBorders>
          </w:tcPr>
          <w:p>
            <w:pPr>
              <w:pStyle w:val="Normal"/>
              <w:snapToGrid w:val="false"/>
              <w:jc w:val="center"/>
              <w:rPr>
                <w:sz w:val="16"/>
              </w:rPr>
            </w:pPr>
            <w:r>
              <w:rPr>
                <w:sz w:val="16"/>
              </w:rPr>
            </w:r>
          </w:p>
        </w:tc>
        <w:tc>
          <w:tcPr>
            <w:tcW w:w="1170" w:type="dxa"/>
            <w:tcBorders>
              <w:bottom w:val="dotted" w:sz="4" w:space="0" w:color="C0C0C0"/>
              <w:end w:val="single" w:sz="12" w:space="0" w:color="000000"/>
            </w:tcBorders>
          </w:tcPr>
          <w:p>
            <w:pPr>
              <w:pStyle w:val="Normal"/>
              <w:snapToGrid w:val="false"/>
              <w:rPr>
                <w:sz w:val="16"/>
              </w:rPr>
            </w:pPr>
            <w:r>
              <w:rPr>
                <w:sz w:val="16"/>
              </w:rPr>
            </w:r>
          </w:p>
        </w:tc>
      </w:tr>
      <w:tr>
        <w:trPr/>
        <w:tc>
          <w:tcPr>
            <w:tcW w:w="2430" w:type="dxa"/>
            <w:tcBorders>
              <w:start w:val="single" w:sz="12" w:space="0" w:color="000000"/>
            </w:tcBorders>
            <w:shd w:fill="DFDFDF" w:val="clear"/>
          </w:tcPr>
          <w:p>
            <w:pPr>
              <w:pStyle w:val="TOC1"/>
              <w:rPr/>
            </w:pPr>
            <w:r>
              <w:rPr/>
              <w:t>Exodus Account Exec:</w:t>
            </w:r>
          </w:p>
        </w:tc>
        <w:tc>
          <w:tcPr>
            <w:tcW w:w="1890" w:type="dxa"/>
            <w:tcBorders>
              <w:top w:val="single" w:sz="12" w:space="0" w:color="000000"/>
              <w:start w:val="dotted" w:sz="4" w:space="0" w:color="C0C0C0"/>
              <w:bottom w:val="single" w:sz="12" w:space="0" w:color="000000"/>
              <w:end w:val="dotted" w:sz="4" w:space="0" w:color="C0C0C0"/>
            </w:tcBorders>
          </w:tcPr>
          <w:p>
            <w:pPr>
              <w:pStyle w:val="Normal"/>
              <w:rPr>
                <w:sz w:val="16"/>
              </w:rPr>
            </w:pPr>
            <w:r>
              <w:rPr>
                <w:sz w:val="16"/>
              </w:rPr>
              <w:t>Andrea Jenkins</w:t>
            </w:r>
          </w:p>
        </w:tc>
        <w:tc>
          <w:tcPr>
            <w:tcW w:w="1620" w:type="dxa"/>
            <w:tcBorders>
              <w:top w:val="single" w:sz="12" w:space="0" w:color="000000"/>
              <w:bottom w:val="single" w:sz="12" w:space="0" w:color="000000"/>
              <w:end w:val="dotted" w:sz="4" w:space="0" w:color="C0C0C0"/>
            </w:tcBorders>
          </w:tcPr>
          <w:p>
            <w:pPr>
              <w:pStyle w:val="Normal"/>
              <w:snapToGrid w:val="false"/>
              <w:rPr>
                <w:sz w:val="16"/>
              </w:rPr>
            </w:pPr>
            <w:r>
              <w:rPr>
                <w:sz w:val="16"/>
              </w:rPr>
            </w:r>
          </w:p>
        </w:tc>
        <w:tc>
          <w:tcPr>
            <w:tcW w:w="2250" w:type="dxa"/>
            <w:tcBorders/>
          </w:tcPr>
          <w:p>
            <w:pPr>
              <w:pStyle w:val="Normal"/>
              <w:snapToGrid w:val="false"/>
              <w:rPr>
                <w:i/>
                <w:i/>
                <w:sz w:val="16"/>
              </w:rPr>
            </w:pPr>
            <w:r>
              <w:rPr>
                <w:i/>
                <w:sz w:val="16"/>
              </w:rPr>
            </w:r>
          </w:p>
        </w:tc>
        <w:tc>
          <w:tcPr>
            <w:tcW w:w="1350" w:type="dxa"/>
            <w:tcBorders>
              <w:start w:val="single" w:sz="12" w:space="0" w:color="000000"/>
              <w:bottom w:val="dotted" w:sz="4" w:space="0" w:color="C0C0C0"/>
            </w:tcBorders>
          </w:tcPr>
          <w:p>
            <w:pPr>
              <w:pStyle w:val="Normal"/>
              <w:snapToGrid w:val="false"/>
              <w:rPr>
                <w:i/>
                <w:i/>
                <w:sz w:val="16"/>
              </w:rPr>
            </w:pPr>
            <w:r>
              <w:rPr>
                <w:i/>
                <w:sz w:val="16"/>
              </w:rPr>
            </w:r>
          </w:p>
        </w:tc>
        <w:tc>
          <w:tcPr>
            <w:tcW w:w="1170" w:type="dxa"/>
            <w:tcBorders>
              <w:bottom w:val="dotted" w:sz="4" w:space="0" w:color="C0C0C0"/>
              <w:end w:val="single" w:sz="12" w:space="0" w:color="000000"/>
            </w:tcBorders>
          </w:tcPr>
          <w:p>
            <w:pPr>
              <w:pStyle w:val="Normal"/>
              <w:snapToGrid w:val="false"/>
              <w:rPr>
                <w:sz w:val="16"/>
              </w:rPr>
            </w:pPr>
            <w:r>
              <w:rPr>
                <w:sz w:val="16"/>
              </w:rPr>
            </w:r>
          </w:p>
        </w:tc>
      </w:tr>
      <w:tr>
        <w:trPr/>
        <w:tc>
          <w:tcPr>
            <w:tcW w:w="2430" w:type="dxa"/>
            <w:tcBorders>
              <w:top w:val="single" w:sz="12" w:space="0" w:color="000000"/>
              <w:start w:val="single" w:sz="12" w:space="0" w:color="000000"/>
              <w:bottom w:val="single" w:sz="12" w:space="0" w:color="000000"/>
            </w:tcBorders>
            <w:shd w:fill="DFDFDF" w:val="clear"/>
          </w:tcPr>
          <w:p>
            <w:pPr>
              <w:pStyle w:val="TOC1"/>
              <w:rPr/>
            </w:pPr>
            <w:r>
              <w:rPr/>
              <w:t>Customer Primary Contact:</w:t>
            </w:r>
          </w:p>
        </w:tc>
        <w:tc>
          <w:tcPr>
            <w:tcW w:w="1890" w:type="dxa"/>
            <w:tcBorders>
              <w:top w:val="single" w:sz="12" w:space="0" w:color="000000"/>
              <w:start w:val="dotted" w:sz="4" w:space="0" w:color="C0C0C0"/>
              <w:bottom w:val="single" w:sz="12" w:space="0" w:color="000000"/>
              <w:end w:val="dotted" w:sz="4" w:space="0" w:color="C0C0C0"/>
            </w:tcBorders>
          </w:tcPr>
          <w:p>
            <w:pPr>
              <w:pStyle w:val="Normal"/>
              <w:rPr>
                <w:sz w:val="16"/>
              </w:rPr>
            </w:pPr>
            <w:r>
              <w:rPr>
                <w:sz w:val="16"/>
              </w:rPr>
              <w:t>Kara Knop</w:t>
            </w:r>
          </w:p>
        </w:tc>
        <w:tc>
          <w:tcPr>
            <w:tcW w:w="1620" w:type="dxa"/>
            <w:tcBorders>
              <w:top w:val="single" w:sz="12" w:space="0" w:color="000000"/>
              <w:bottom w:val="single" w:sz="12" w:space="0" w:color="000000"/>
              <w:end w:val="dotted" w:sz="4" w:space="0" w:color="C0C0C0"/>
            </w:tcBorders>
          </w:tcPr>
          <w:p>
            <w:pPr>
              <w:pStyle w:val="Normal"/>
              <w:snapToGrid w:val="false"/>
              <w:rPr>
                <w:sz w:val="16"/>
              </w:rPr>
            </w:pPr>
            <w:r>
              <w:rPr>
                <w:sz w:val="16"/>
              </w:rPr>
            </w:r>
          </w:p>
        </w:tc>
        <w:tc>
          <w:tcPr>
            <w:tcW w:w="2250" w:type="dxa"/>
            <w:tcBorders>
              <w:top w:val="single" w:sz="12" w:space="0" w:color="000000"/>
              <w:bottom w:val="single" w:sz="12" w:space="0" w:color="000000"/>
            </w:tcBorders>
          </w:tcPr>
          <w:p>
            <w:pPr>
              <w:pStyle w:val="Normal"/>
              <w:snapToGrid w:val="false"/>
              <w:rPr>
                <w:i/>
                <w:i/>
                <w:sz w:val="16"/>
              </w:rPr>
            </w:pPr>
            <w:r>
              <w:rPr>
                <w:i/>
                <w:sz w:val="16"/>
              </w:rPr>
            </w:r>
          </w:p>
        </w:tc>
        <w:tc>
          <w:tcPr>
            <w:tcW w:w="1350" w:type="dxa"/>
            <w:tcBorders>
              <w:start w:val="single" w:sz="12" w:space="0" w:color="000000"/>
              <w:bottom w:val="single" w:sz="12" w:space="0" w:color="000000"/>
            </w:tcBorders>
          </w:tcPr>
          <w:p>
            <w:pPr>
              <w:pStyle w:val="Normal"/>
              <w:snapToGrid w:val="false"/>
              <w:rPr>
                <w:i/>
                <w:i/>
                <w:sz w:val="16"/>
              </w:rPr>
            </w:pPr>
            <w:r>
              <w:rPr>
                <w:i/>
                <w:sz w:val="16"/>
              </w:rPr>
            </w:r>
          </w:p>
        </w:tc>
        <w:tc>
          <w:tcPr>
            <w:tcW w:w="1170" w:type="dxa"/>
            <w:tcBorders>
              <w:bottom w:val="single" w:sz="12" w:space="0" w:color="000000"/>
              <w:end w:val="single" w:sz="12" w:space="0" w:color="000000"/>
            </w:tcBorders>
          </w:tcPr>
          <w:p>
            <w:pPr>
              <w:pStyle w:val="Normal"/>
              <w:snapToGrid w:val="false"/>
              <w:rPr>
                <w:sz w:val="16"/>
              </w:rPr>
            </w:pPr>
            <w:r>
              <w:rPr>
                <w:sz w:val="16"/>
              </w:rPr>
            </w:r>
          </w:p>
        </w:tc>
      </w:tr>
    </w:tbl>
    <w:p>
      <w:pPr>
        <w:pStyle w:val="Normal"/>
        <w:rPr/>
      </w:pPr>
      <w:r>
        <w:rPr/>
      </w:r>
    </w:p>
    <w:p>
      <w:pPr>
        <w:pStyle w:val="Normal"/>
        <w:rPr/>
      </w:pPr>
      <w:r>
        <w:rPr/>
      </w:r>
    </w:p>
    <w:p>
      <w:pPr>
        <w:pStyle w:val="Heading2"/>
        <w:numPr>
          <w:ilvl w:val="0"/>
          <w:numId w:val="0"/>
        </w:numPr>
        <w:spacing w:before="0" w:after="0"/>
        <w:ind w:hanging="0" w:start="0"/>
        <w:rPr>
          <w:sz w:val="24"/>
          <w:u w:val="single"/>
        </w:rPr>
      </w:pPr>
      <w:r>
        <w:rPr>
          <w:sz w:val="24"/>
          <w:u w:val="single"/>
        </w:rPr>
        <w:t>Scope of Work</w:t>
      </w:r>
    </w:p>
    <w:p>
      <w:pPr>
        <w:pStyle w:val="Normal"/>
        <w:rPr>
          <w:sz w:val="24"/>
          <w:u w:val="single"/>
        </w:rPr>
      </w:pPr>
      <w:r>
        <w:rPr>
          <w:sz w:val="24"/>
          <w:u w:val="single"/>
        </w:rPr>
      </w:r>
    </w:p>
    <w:p>
      <w:pPr>
        <w:pStyle w:val="BodyTextIndent2"/>
        <w:ind w:start="0" w:end="0"/>
        <w:rPr>
          <w:sz w:val="16"/>
        </w:rPr>
      </w:pPr>
      <w:r>
        <w:rPr>
          <w:sz w:val="16"/>
        </w:rPr>
        <w:t>The Customer identified above has defined the objectives of this effort, which Exodus proposes to fulfill through completion of the following tasks. Tasks that are priced as “Time &amp; Materials” are estimates only; the customer will be billed for actual time &amp; materials utilized on the project.  Tasks that are listed as “Fixed Price” are due in full upon receipt of the applicable deliverables.  Fixed Price engagements are “not-to-exceed” pricing.</w:t>
      </w:r>
    </w:p>
    <w:p>
      <w:pPr>
        <w:pStyle w:val="BodyTextIndent2"/>
        <w:ind w:start="0" w:end="0"/>
        <w:rPr>
          <w:sz w:val="16"/>
        </w:rPr>
      </w:pPr>
      <w:r>
        <w:rPr>
          <w:sz w:val="16"/>
        </w:rPr>
      </w:r>
    </w:p>
    <w:tbl>
      <w:tblPr>
        <w:tblW w:w="10620" w:type="dxa"/>
        <w:jc w:val="start"/>
        <w:tblInd w:w="108" w:type="dxa"/>
        <w:tblLayout w:type="fixed"/>
        <w:tblCellMar>
          <w:top w:w="0" w:type="dxa"/>
          <w:start w:w="108" w:type="dxa"/>
          <w:bottom w:w="0" w:type="dxa"/>
          <w:end w:w="108" w:type="dxa"/>
        </w:tblCellMar>
      </w:tblPr>
      <w:tblGrid>
        <w:gridCol w:w="2430"/>
        <w:gridCol w:w="5040"/>
        <w:gridCol w:w="1530"/>
        <w:gridCol w:w="1620"/>
      </w:tblGrid>
      <w:tr>
        <w:trPr/>
        <w:tc>
          <w:tcPr>
            <w:tcW w:w="2430" w:type="dxa"/>
            <w:tcBorders>
              <w:top w:val="single" w:sz="12" w:space="0" w:color="000000"/>
              <w:start w:val="single" w:sz="12" w:space="0" w:color="000000"/>
              <w:bottom w:val="single" w:sz="12" w:space="0" w:color="000000"/>
              <w:end w:val="single" w:sz="12" w:space="0" w:color="000000"/>
            </w:tcBorders>
            <w:shd w:fill="D8D8D8" w:val="clear"/>
          </w:tcPr>
          <w:p>
            <w:pPr>
              <w:pStyle w:val="Heading3"/>
              <w:numPr>
                <w:ilvl w:val="0"/>
                <w:numId w:val="0"/>
              </w:numPr>
              <w:ind w:hanging="0" w:start="0"/>
              <w:jc w:val="center"/>
              <w:rPr>
                <w:rFonts w:ascii="Times New Roman" w:hAnsi="Times New Roman" w:cs="Times New Roman"/>
                <w:sz w:val="20"/>
              </w:rPr>
            </w:pPr>
            <w:r>
              <w:rPr>
                <w:rFonts w:cs="Times New Roman" w:ascii="Times New Roman" w:hAnsi="Times New Roman"/>
                <w:sz w:val="20"/>
              </w:rPr>
              <w:t>Service</w:t>
            </w:r>
          </w:p>
        </w:tc>
        <w:tc>
          <w:tcPr>
            <w:tcW w:w="5040" w:type="dxa"/>
            <w:tcBorders>
              <w:top w:val="single" w:sz="12" w:space="0" w:color="000000"/>
              <w:bottom w:val="single" w:sz="12" w:space="0" w:color="000000"/>
              <w:end w:val="single" w:sz="12" w:space="0" w:color="000000"/>
            </w:tcBorders>
            <w:shd w:fill="D8D8D8" w:val="clear"/>
          </w:tcPr>
          <w:p>
            <w:pPr>
              <w:pStyle w:val="Heading3"/>
              <w:numPr>
                <w:ilvl w:val="0"/>
                <w:numId w:val="0"/>
              </w:numPr>
              <w:ind w:hanging="0" w:start="0"/>
              <w:jc w:val="center"/>
              <w:rPr>
                <w:rFonts w:ascii="Times New Roman" w:hAnsi="Times New Roman" w:cs="Times New Roman"/>
                <w:sz w:val="20"/>
              </w:rPr>
            </w:pPr>
            <w:r>
              <w:rPr>
                <w:rFonts w:cs="Times New Roman" w:ascii="Times New Roman" w:hAnsi="Times New Roman"/>
                <w:sz w:val="20"/>
              </w:rPr>
              <w:t>Description</w:t>
            </w:r>
          </w:p>
        </w:tc>
        <w:tc>
          <w:tcPr>
            <w:tcW w:w="1530" w:type="dxa"/>
            <w:tcBorders>
              <w:top w:val="single" w:sz="12" w:space="0" w:color="000000"/>
              <w:bottom w:val="single" w:sz="12" w:space="0" w:color="000000"/>
              <w:end w:val="single" w:sz="12" w:space="0" w:color="000000"/>
            </w:tcBorders>
            <w:shd w:fill="D8D8D8" w:val="clear"/>
          </w:tcPr>
          <w:p>
            <w:pPr>
              <w:pStyle w:val="Normal"/>
              <w:jc w:val="center"/>
              <w:rPr>
                <w:b/>
              </w:rPr>
            </w:pPr>
            <w:r>
              <w:rPr>
                <w:b/>
              </w:rPr>
              <w:t>Est. Time</w:t>
            </w:r>
          </w:p>
        </w:tc>
        <w:tc>
          <w:tcPr>
            <w:tcW w:w="1620" w:type="dxa"/>
            <w:tcBorders>
              <w:top w:val="single" w:sz="12" w:space="0" w:color="000000"/>
              <w:bottom w:val="single" w:sz="12" w:space="0" w:color="000000"/>
              <w:end w:val="single" w:sz="12" w:space="0" w:color="000000"/>
            </w:tcBorders>
            <w:shd w:fill="D8D8D8" w:val="clear"/>
          </w:tcPr>
          <w:p>
            <w:pPr>
              <w:pStyle w:val="Heading4"/>
              <w:numPr>
                <w:ilvl w:val="0"/>
                <w:numId w:val="0"/>
              </w:numPr>
              <w:ind w:hanging="0" w:start="0"/>
              <w:jc w:val="center"/>
              <w:rPr>
                <w:rFonts w:ascii="Times New Roman" w:hAnsi="Times New Roman" w:cs="Times New Roman"/>
              </w:rPr>
            </w:pPr>
            <w:r>
              <w:rPr>
                <w:rFonts w:cs="Times New Roman" w:ascii="Times New Roman" w:hAnsi="Times New Roman"/>
              </w:rPr>
              <w:t>Cost</w:t>
            </w:r>
          </w:p>
        </w:tc>
      </w:tr>
      <w:tr>
        <w:trPr/>
        <w:tc>
          <w:tcPr>
            <w:tcW w:w="2430" w:type="dxa"/>
            <w:tcBorders>
              <w:start w:val="single" w:sz="4" w:space="0" w:color="000000"/>
              <w:bottom w:val="single" w:sz="4" w:space="0" w:color="000000"/>
              <w:end w:val="single" w:sz="4" w:space="0" w:color="000000"/>
            </w:tcBorders>
          </w:tcPr>
          <w:p>
            <w:pPr>
              <w:pStyle w:val="Normal"/>
              <w:rPr>
                <w:b/>
                <w:color w:val="FF0000"/>
              </w:rPr>
            </w:pPr>
            <w:r>
              <w:rPr>
                <w:b/>
                <w:color w:val="FF0000"/>
              </w:rPr>
              <w:t>BASELINE SERVICES</w:t>
            </w:r>
          </w:p>
        </w:tc>
        <w:tc>
          <w:tcPr>
            <w:tcW w:w="5040" w:type="dxa"/>
            <w:tcBorders>
              <w:start w:val="single" w:sz="4" w:space="0" w:color="000000"/>
              <w:bottom w:val="single" w:sz="4" w:space="0" w:color="000000"/>
              <w:end w:val="single" w:sz="4" w:space="0" w:color="000000"/>
            </w:tcBorders>
          </w:tcPr>
          <w:p>
            <w:pPr>
              <w:pStyle w:val="Normal"/>
              <w:snapToGrid w:val="false"/>
              <w:rPr>
                <w:b/>
                <w:color w:val="FF0000"/>
              </w:rPr>
            </w:pPr>
            <w:r>
              <w:rPr>
                <w:b/>
                <w:color w:val="FF0000"/>
              </w:rPr>
            </w:r>
          </w:p>
        </w:tc>
        <w:tc>
          <w:tcPr>
            <w:tcW w:w="1530" w:type="dxa"/>
            <w:tcBorders>
              <w:start w:val="single" w:sz="4" w:space="0" w:color="000000"/>
              <w:bottom w:val="single" w:sz="4" w:space="0" w:color="000000"/>
              <w:end w:val="single" w:sz="4" w:space="0" w:color="000000"/>
            </w:tcBorders>
          </w:tcPr>
          <w:p>
            <w:pPr>
              <w:pStyle w:val="Normal"/>
              <w:snapToGrid w:val="false"/>
              <w:jc w:val="center"/>
              <w:rPr/>
            </w:pPr>
            <w:r>
              <w:rPr/>
            </w:r>
          </w:p>
        </w:tc>
        <w:tc>
          <w:tcPr>
            <w:tcW w:w="1620" w:type="dxa"/>
            <w:tcBorders>
              <w:start w:val="single" w:sz="4" w:space="0" w:color="000000"/>
              <w:bottom w:val="single" w:sz="4" w:space="0" w:color="000000"/>
              <w:end w:val="single" w:sz="4" w:space="0" w:color="000000"/>
            </w:tcBorders>
          </w:tcPr>
          <w:p>
            <w:pPr>
              <w:pStyle w:val="Heading4"/>
              <w:numPr>
                <w:ilvl w:val="0"/>
                <w:numId w:val="0"/>
              </w:numPr>
              <w:snapToGrid w:val="false"/>
              <w:ind w:hanging="0" w:start="0"/>
              <w:rPr>
                <w:rFonts w:ascii="Times New Roman" w:hAnsi="Times New Roman" w:cs="Times New Roman"/>
                <w:b w:val="false"/>
              </w:rPr>
            </w:pPr>
            <w:r>
              <w:rPr>
                <w:rFonts w:cs="Times New Roman" w:ascii="Times New Roman" w:hAnsi="Times New Roman"/>
                <w:b w:val="false"/>
              </w:rPr>
            </w:r>
          </w:p>
        </w:tc>
      </w:tr>
      <w:tr>
        <w:trPr>
          <w:trHeight w:val="4157" w:hRule="atLeast"/>
        </w:trPr>
        <w:tc>
          <w:tcPr>
            <w:tcW w:w="243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ind w:hanging="0" w:start="342" w:end="0"/>
              <w:rPr>
                <w:rFonts w:ascii="Times New Roman" w:hAnsi="Times New Roman" w:cs="Times New Roman"/>
                <w:sz w:val="20"/>
              </w:rPr>
            </w:pPr>
            <w:r>
              <w:rPr>
                <w:rFonts w:cs="Times New Roman" w:ascii="Times New Roman" w:hAnsi="Times New Roman"/>
                <w:sz w:val="20"/>
              </w:rPr>
              <w:t>Global Program Management</w:t>
            </w:r>
          </w:p>
          <w:p>
            <w:pPr>
              <w:pStyle w:val="Normal"/>
              <w:ind w:start="342" w:end="0"/>
              <w:rPr>
                <w:rFonts w:ascii="Times New Roman" w:hAnsi="Times New Roman" w:cs="Times New Roman"/>
                <w:b/>
                <w:sz w:val="20"/>
              </w:rPr>
            </w:pPr>
            <w:r>
              <w:rPr>
                <w:rFonts w:cs="Times New Roman"/>
                <w:b/>
                <w:sz w:val="20"/>
              </w:rPr>
            </w:r>
          </w:p>
        </w:tc>
        <w:tc>
          <w:tcPr>
            <w:tcW w:w="504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pPr>
            <w:r>
              <w:rPr/>
              <w:t>Single Exodus point of contact for all project-related issues</w:t>
            </w:r>
          </w:p>
          <w:p>
            <w:pPr>
              <w:pStyle w:val="Normal"/>
              <w:numPr>
                <w:ilvl w:val="0"/>
                <w:numId w:val="3"/>
              </w:numPr>
              <w:rPr>
                <w:color w:val="000000"/>
              </w:rPr>
            </w:pPr>
            <w:r>
              <w:rPr/>
              <w:t>The Exodus Global Program Manager will be Enron’s liaison and champion into the Exodus organization</w:t>
            </w:r>
          </w:p>
          <w:p>
            <w:pPr>
              <w:pStyle w:val="Normal"/>
              <w:numPr>
                <w:ilvl w:val="0"/>
                <w:numId w:val="4"/>
              </w:numPr>
              <w:rPr>
                <w:color w:val="000000"/>
              </w:rPr>
            </w:pPr>
            <w:r>
              <w:rPr>
                <w:color w:val="000000"/>
              </w:rPr>
              <w:t>The PM will have the role of lead project management and will interface with all vendors on behalf of Enron</w:t>
            </w:r>
          </w:p>
          <w:p>
            <w:pPr>
              <w:pStyle w:val="Normal"/>
              <w:numPr>
                <w:ilvl w:val="0"/>
                <w:numId w:val="4"/>
              </w:numPr>
              <w:rPr>
                <w:color w:val="000000"/>
              </w:rPr>
            </w:pPr>
            <w:r>
              <w:rPr>
                <w:color w:val="000000"/>
              </w:rPr>
              <w:t>Manage application integration partner</w:t>
            </w:r>
          </w:p>
          <w:p>
            <w:pPr>
              <w:pStyle w:val="Normal"/>
              <w:numPr>
                <w:ilvl w:val="0"/>
                <w:numId w:val="4"/>
              </w:numPr>
              <w:rPr>
                <w:color w:val="000000"/>
              </w:rPr>
            </w:pPr>
            <w:r>
              <w:rPr>
                <w:color w:val="000000"/>
              </w:rPr>
              <w:t>Provide overall leadership and direction for regional Program Managers</w:t>
            </w:r>
          </w:p>
          <w:p>
            <w:pPr>
              <w:pStyle w:val="Normal"/>
              <w:numPr>
                <w:ilvl w:val="0"/>
                <w:numId w:val="4"/>
              </w:numPr>
              <w:rPr>
                <w:color w:val="000000"/>
              </w:rPr>
            </w:pPr>
            <w:r>
              <w:rPr>
                <w:color w:val="000000"/>
              </w:rPr>
              <w:t>Develop and manage master timeline with input from all vendors</w:t>
            </w:r>
          </w:p>
          <w:p>
            <w:pPr>
              <w:pStyle w:val="Normal"/>
              <w:numPr>
                <w:ilvl w:val="0"/>
                <w:numId w:val="6"/>
              </w:numPr>
              <w:ind w:hanging="360" w:start="360" w:end="0"/>
              <w:rPr/>
            </w:pPr>
            <w:r>
              <w:rPr/>
              <w:t>Monitor vendor adherence to SLAs and report to Enron management</w:t>
            </w:r>
          </w:p>
          <w:p>
            <w:pPr>
              <w:pStyle w:val="Normal"/>
              <w:numPr>
                <w:ilvl w:val="0"/>
                <w:numId w:val="4"/>
              </w:numPr>
              <w:rPr/>
            </w:pPr>
            <w:r>
              <w:rPr/>
              <w:t>Develop and define operations and escalation procedures for production support</w:t>
            </w:r>
          </w:p>
          <w:p>
            <w:pPr>
              <w:pStyle w:val="Normal"/>
              <w:numPr>
                <w:ilvl w:val="0"/>
                <w:numId w:val="6"/>
              </w:numPr>
              <w:tabs>
                <w:tab w:val="clear" w:pos="720"/>
                <w:tab w:val="left" w:pos="360" w:leader="none"/>
              </w:tabs>
              <w:ind w:hanging="360" w:start="360" w:end="0"/>
              <w:rPr/>
            </w:pPr>
            <w:r>
              <w:rPr/>
              <w:t>Mutually-agreeable Status Reporting of project plan with Red/Yellow/Green Status Reports</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173 hours</w:t>
            </w:r>
          </w:p>
          <w:p>
            <w:pPr>
              <w:pStyle w:val="Normal"/>
              <w:jc w:val="center"/>
              <w:rPr/>
            </w:pPr>
            <w:r>
              <w:rPr/>
              <w:t>per month</w:t>
            </w:r>
          </w:p>
        </w:tc>
        <w:tc>
          <w:tcPr>
            <w:tcW w:w="1620" w:type="dxa"/>
            <w:tcBorders>
              <w:top w:val="single" w:sz="4" w:space="0" w:color="000000"/>
              <w:start w:val="single" w:sz="4" w:space="0" w:color="000000"/>
              <w:bottom w:val="single" w:sz="4" w:space="0" w:color="000000"/>
              <w:end w:val="single" w:sz="4" w:space="0" w:color="000000"/>
            </w:tcBorders>
          </w:tcPr>
          <w:p>
            <w:pPr>
              <w:pStyle w:val="Heading4"/>
              <w:numPr>
                <w:ilvl w:val="0"/>
                <w:numId w:val="0"/>
              </w:numPr>
              <w:ind w:hanging="0" w:start="0"/>
              <w:jc w:val="center"/>
              <w:rPr>
                <w:rFonts w:ascii="Times New Roman" w:hAnsi="Times New Roman" w:cs="Times New Roman"/>
                <w:b w:val="false"/>
              </w:rPr>
            </w:pPr>
            <w:r>
              <w:rPr>
                <w:rFonts w:cs="Times New Roman" w:ascii="Times New Roman" w:hAnsi="Times New Roman"/>
                <w:b w:val="false"/>
              </w:rPr>
              <w:t>$38,925.00</w:t>
            </w:r>
          </w:p>
          <w:p>
            <w:pPr>
              <w:pStyle w:val="Normal"/>
              <w:jc w:val="center"/>
              <w:rPr/>
            </w:pPr>
            <w:r>
              <w:rPr/>
              <w:t>per month</w:t>
            </w:r>
          </w:p>
        </w:tc>
      </w:tr>
    </w:tbl>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Deliverables</w:t>
      </w:r>
    </w:p>
    <w:p>
      <w:pPr>
        <w:pStyle w:val="Normal"/>
        <w:rPr>
          <w:b/>
          <w:sz w:val="24"/>
          <w:u w:val="single"/>
        </w:rPr>
      </w:pPr>
      <w:r>
        <w:rPr>
          <w:b/>
          <w:sz w:val="24"/>
          <w:u w:val="single"/>
        </w:rPr>
      </w:r>
    </w:p>
    <w:p>
      <w:pPr>
        <w:pStyle w:val="Normal"/>
        <w:jc w:val="both"/>
        <w:rPr>
          <w:sz w:val="16"/>
        </w:rPr>
      </w:pPr>
      <w:r>
        <w:rPr>
          <w:sz w:val="16"/>
        </w:rPr>
        <w:t>Customer agrees that upon completion of the following deliverables (unless modified by subsequent change order) Exodus Professional Services has fulfilled its obligation under the sales order accompanying this Statement of Work (Seibel #).  For any changes to this Statement of Work, Exodus and Customer will complete a Change Request (Attachment B) to be agreed upon by both parties.  For any Customer issues that are not resolved, Exodus will complete a Change Order (Attachment C) and forward it to Customer for their agreement.  These processes are described further in the Controls section of this document.</w:t>
      </w:r>
    </w:p>
    <w:p>
      <w:pPr>
        <w:pStyle w:val="Normal"/>
        <w:jc w:val="both"/>
        <w:rPr>
          <w:sz w:val="16"/>
        </w:rPr>
      </w:pPr>
      <w:r>
        <w:rPr>
          <w:sz w:val="16"/>
        </w:rPr>
      </w:r>
    </w:p>
    <w:tbl>
      <w:tblPr>
        <w:tblW w:w="10710" w:type="dxa"/>
        <w:jc w:val="start"/>
        <w:tblInd w:w="80" w:type="dxa"/>
        <w:tblLayout w:type="fixed"/>
        <w:tblCellMar>
          <w:top w:w="0" w:type="dxa"/>
          <w:start w:w="80" w:type="dxa"/>
          <w:bottom w:w="0" w:type="dxa"/>
          <w:end w:w="80" w:type="dxa"/>
        </w:tblCellMar>
      </w:tblPr>
      <w:tblGrid>
        <w:gridCol w:w="4320"/>
        <w:gridCol w:w="6390"/>
      </w:tblGrid>
      <w:tr>
        <w:trPr/>
        <w:tc>
          <w:tcPr>
            <w:tcW w:w="4320" w:type="dxa"/>
            <w:tcBorders>
              <w:top w:val="single" w:sz="12" w:space="0" w:color="000000"/>
              <w:start w:val="single" w:sz="12" w:space="0" w:color="000000"/>
              <w:bottom w:val="single" w:sz="12" w:space="0" w:color="000000"/>
              <w:end w:val="single" w:sz="12" w:space="0" w:color="000000"/>
            </w:tcBorders>
            <w:shd w:fill="DFDFDF" w:val="clear"/>
            <w:vAlign w:val="bottom"/>
          </w:tcPr>
          <w:p>
            <w:pPr>
              <w:pStyle w:val="Normal"/>
              <w:tabs>
                <w:tab w:val="clear" w:pos="720"/>
                <w:tab w:val="left" w:pos="1880" w:leader="none"/>
                <w:tab w:val="left" w:pos="6120" w:leader="none"/>
              </w:tabs>
              <w:jc w:val="center"/>
              <w:rPr>
                <w:b/>
              </w:rPr>
            </w:pPr>
            <w:r>
              <w:rPr>
                <w:b/>
              </w:rPr>
              <w:t>Deliverable Work Product</w:t>
            </w:r>
          </w:p>
        </w:tc>
        <w:tc>
          <w:tcPr>
            <w:tcW w:w="6390" w:type="dxa"/>
            <w:tcBorders>
              <w:top w:val="single" w:sz="12" w:space="0" w:color="000000"/>
              <w:bottom w:val="single" w:sz="12" w:space="0" w:color="000000"/>
              <w:end w:val="single" w:sz="12" w:space="0" w:color="000000"/>
            </w:tcBorders>
            <w:shd w:fill="DFDFDF" w:val="clear"/>
            <w:vAlign w:val="bottom"/>
          </w:tcPr>
          <w:p>
            <w:pPr>
              <w:pStyle w:val="Normal"/>
              <w:tabs>
                <w:tab w:val="clear" w:pos="720"/>
                <w:tab w:val="left" w:pos="2160" w:leader="none"/>
                <w:tab w:val="left" w:pos="6120" w:leader="none"/>
              </w:tabs>
              <w:jc w:val="center"/>
              <w:rPr>
                <w:b/>
              </w:rPr>
            </w:pPr>
            <w:r>
              <w:rPr>
                <w:b/>
              </w:rPr>
              <w:t>Description</w:t>
            </w:r>
          </w:p>
        </w:tc>
      </w:tr>
      <w:tr>
        <w:trPr>
          <w:trHeight w:val="645" w:hRule="atLeast"/>
        </w:trPr>
        <w:tc>
          <w:tcPr>
            <w:tcW w:w="4320" w:type="dxa"/>
            <w:tcBorders>
              <w:start w:val="single" w:sz="6" w:space="0" w:color="000000"/>
              <w:bottom w:val="single" w:sz="6" w:space="0" w:color="000000"/>
              <w:end w:val="single" w:sz="6" w:space="0" w:color="000000"/>
            </w:tcBorders>
          </w:tcPr>
          <w:p>
            <w:pPr>
              <w:pStyle w:val="Normal"/>
              <w:tabs>
                <w:tab w:val="clear" w:pos="720"/>
                <w:tab w:val="left" w:pos="2160" w:leader="none"/>
                <w:tab w:val="left" w:pos="6120" w:leader="none"/>
              </w:tabs>
              <w:jc w:val="both"/>
              <w:rPr/>
            </w:pPr>
            <w:r>
              <w:rPr/>
              <w:t>Detailed Project Plan</w:t>
            </w:r>
          </w:p>
        </w:tc>
        <w:tc>
          <w:tcPr>
            <w:tcW w:w="6390" w:type="dxa"/>
            <w:tcBorders>
              <w:start w:val="single" w:sz="6" w:space="0" w:color="000000"/>
              <w:bottom w:val="single" w:sz="6" w:space="0" w:color="000000"/>
              <w:end w:val="single" w:sz="6" w:space="0" w:color="000000"/>
            </w:tcBorders>
          </w:tcPr>
          <w:p>
            <w:pPr>
              <w:pStyle w:val="Normal"/>
              <w:jc w:val="both"/>
              <w:rPr/>
            </w:pPr>
            <w:r>
              <w:rPr/>
              <w:t>Mutually-agreeable project plan which defines specific tasks, resource responsibilities, milestones and the critical path.</w:t>
            </w:r>
          </w:p>
        </w:tc>
      </w:tr>
    </w:tbl>
    <w:p>
      <w:pPr>
        <w:pStyle w:val="Normal"/>
        <w:jc w:val="both"/>
        <w:rPr/>
      </w:pPr>
      <w:r>
        <w:rPr/>
      </w:r>
    </w:p>
    <w:p>
      <w:pPr>
        <w:pStyle w:val="Normal"/>
        <w:jc w:val="both"/>
        <w:rPr/>
      </w:pPr>
      <w:r>
        <w:rPr/>
      </w:r>
    </w:p>
    <w:p>
      <w:pPr>
        <w:pStyle w:val="Normal"/>
        <w:rPr/>
      </w:pPr>
      <w:r>
        <w:rPr/>
      </w:r>
    </w:p>
    <w:p>
      <w:pPr>
        <w:pStyle w:val="Normal"/>
        <w:rPr/>
      </w:pPr>
      <w:r>
        <w:rPr/>
      </w:r>
    </w:p>
    <w:p>
      <w:pPr>
        <w:pStyle w:val="Subheads"/>
        <w:spacing w:before="0" w:after="0"/>
        <w:rPr>
          <w:rFonts w:ascii="Times New Roman" w:hAnsi="Times New Roman" w:cs="Times New Roman"/>
          <w:u w:val="single"/>
        </w:rPr>
      </w:pPr>
      <w:r>
        <w:rPr>
          <w:rFonts w:cs="Times New Roman" w:ascii="Times New Roman" w:hAnsi="Times New Roman"/>
          <w:u w:val="single"/>
        </w:rPr>
        <w:t>Assumptions</w:t>
      </w:r>
    </w:p>
    <w:p>
      <w:pPr>
        <w:pStyle w:val="Normal"/>
        <w:rPr>
          <w:rFonts w:ascii="Times New Roman" w:hAnsi="Times New Roman" w:cs="Times New Roman"/>
          <w:u w:val="single"/>
        </w:rPr>
      </w:pPr>
      <w:r>
        <w:rPr>
          <w:rFonts w:cs="Times New Roman"/>
          <w:u w:val="single"/>
        </w:rPr>
      </w:r>
    </w:p>
    <w:tbl>
      <w:tblPr>
        <w:tblW w:w="10710" w:type="dxa"/>
        <w:jc w:val="start"/>
        <w:tblInd w:w="108" w:type="dxa"/>
        <w:tblLayout w:type="fixed"/>
        <w:tblCellMar>
          <w:top w:w="0" w:type="dxa"/>
          <w:start w:w="108" w:type="dxa"/>
          <w:bottom w:w="0" w:type="dxa"/>
          <w:end w:w="108" w:type="dxa"/>
        </w:tblCellMar>
      </w:tblPr>
      <w:tblGrid>
        <w:gridCol w:w="10710"/>
      </w:tblGrid>
      <w:tr>
        <w:trPr/>
        <w:tc>
          <w:tcPr>
            <w:tcW w:w="10710" w:type="dxa"/>
            <w:tcBorders>
              <w:top w:val="single" w:sz="12" w:space="0" w:color="000000"/>
              <w:start w:val="single" w:sz="12" w:space="0" w:color="000000"/>
              <w:bottom w:val="single" w:sz="12" w:space="0" w:color="000000"/>
              <w:end w:val="single" w:sz="12" w:space="0" w:color="000000"/>
            </w:tcBorders>
            <w:shd w:fill="DFDFDF" w:val="clear"/>
          </w:tcPr>
          <w:p>
            <w:pPr>
              <w:pStyle w:val="Normal"/>
              <w:snapToGrid w:val="false"/>
              <w:jc w:val="center"/>
              <w:rPr>
                <w:b/>
              </w:rPr>
            </w:pPr>
            <w:r>
              <w:rPr>
                <w:b/>
              </w:rPr>
            </w:r>
          </w:p>
        </w:tc>
      </w:tr>
      <w:tr>
        <w:trPr/>
        <w:tc>
          <w:tcPr>
            <w:tcW w:w="10710" w:type="dxa"/>
            <w:tcBorders>
              <w:top w:val="single" w:sz="4" w:space="0" w:color="000000"/>
              <w:start w:val="single" w:sz="4" w:space="0" w:color="000000"/>
              <w:bottom w:val="single" w:sz="4" w:space="0" w:color="000000"/>
              <w:end w:val="single" w:sz="4" w:space="0" w:color="000000"/>
            </w:tcBorders>
          </w:tcPr>
          <w:p>
            <w:pPr>
              <w:pStyle w:val="Normal"/>
              <w:rPr>
                <w:b/>
                <w:sz w:val="24"/>
                <w:u w:val="single"/>
              </w:rPr>
            </w:pPr>
            <w:r>
              <w:rPr/>
              <w:t xml:space="preserve">Any travel expenses incurred during this project are the responsibility of Enron, and will be billed separately. </w:t>
            </w:r>
          </w:p>
        </w:tc>
      </w:tr>
      <w:tr>
        <w:trPr/>
        <w:tc>
          <w:tcPr>
            <w:tcW w:w="10710" w:type="dxa"/>
            <w:tcBorders>
              <w:top w:val="single" w:sz="4" w:space="0" w:color="000000"/>
              <w:start w:val="single" w:sz="4" w:space="0" w:color="000000"/>
              <w:bottom w:val="single" w:sz="4" w:space="0" w:color="000000"/>
              <w:end w:val="single" w:sz="4" w:space="0" w:color="000000"/>
            </w:tcBorders>
          </w:tcPr>
          <w:p>
            <w:pPr>
              <w:pStyle w:val="Normal"/>
              <w:rPr/>
            </w:pPr>
            <w:r>
              <w:rPr/>
              <w:t>Enron will make reasonable efforts to provide office facilities for the Exodus service team while on-site.  This includes desks, chairs, phones, data connectivity and access to copy machines and fax machines.</w:t>
            </w:r>
          </w:p>
        </w:tc>
      </w:tr>
      <w:tr>
        <w:trPr/>
        <w:tc>
          <w:tcPr>
            <w:tcW w:w="10710" w:type="dxa"/>
            <w:tcBorders>
              <w:top w:val="single" w:sz="4" w:space="0" w:color="000000"/>
              <w:start w:val="single" w:sz="4" w:space="0" w:color="000000"/>
              <w:bottom w:val="single" w:sz="4" w:space="0" w:color="000000"/>
              <w:end w:val="single" w:sz="4" w:space="0" w:color="000000"/>
            </w:tcBorders>
          </w:tcPr>
          <w:p>
            <w:pPr>
              <w:pStyle w:val="Normal"/>
              <w:rPr/>
            </w:pPr>
            <w:r>
              <w:rPr/>
              <w:t>All documentation delivered by Enron to Exodus is assumed to be current unless specifically noted otherwise.</w:t>
            </w:r>
          </w:p>
        </w:tc>
      </w:tr>
      <w:tr>
        <w:trPr/>
        <w:tc>
          <w:tcPr>
            <w:tcW w:w="10710" w:type="dxa"/>
            <w:tcBorders>
              <w:top w:val="single" w:sz="4" w:space="0" w:color="000000"/>
              <w:start w:val="single" w:sz="4" w:space="0" w:color="000000"/>
              <w:bottom w:val="single" w:sz="4" w:space="0" w:color="000000"/>
              <w:end w:val="single" w:sz="4" w:space="0" w:color="000000"/>
            </w:tcBorders>
          </w:tcPr>
          <w:p>
            <w:pPr>
              <w:pStyle w:val="Normal"/>
              <w:rPr/>
            </w:pPr>
            <w:r>
              <w:rPr/>
              <w:t>All significant “out of scope” requests must be submitted through the Exodus Program Manager and will follow the documented Change Control Process.</w:t>
            </w:r>
          </w:p>
        </w:tc>
      </w:tr>
      <w:tr>
        <w:trPr/>
        <w:tc>
          <w:tcPr>
            <w:tcW w:w="10710" w:type="dxa"/>
            <w:tcBorders>
              <w:top w:val="single" w:sz="4" w:space="0" w:color="000000"/>
              <w:start w:val="single" w:sz="4" w:space="0" w:color="000000"/>
              <w:bottom w:val="single" w:sz="4" w:space="0" w:color="000000"/>
              <w:end w:val="single" w:sz="4" w:space="0" w:color="000000"/>
            </w:tcBorders>
          </w:tcPr>
          <w:p>
            <w:pPr>
              <w:pStyle w:val="Normal"/>
              <w:rPr/>
            </w:pPr>
            <w:r>
              <w:rPr/>
              <w:t>Enron will provide Exodus access to the appropriate systems, staff, and information necessary to perform the services outlined in this SOW.  These resources will be provided on a schedule consistent with the project timelines outlined in this document.</w:t>
            </w:r>
          </w:p>
        </w:tc>
      </w:tr>
      <w:tr>
        <w:trPr/>
        <w:tc>
          <w:tcPr>
            <w:tcW w:w="10710" w:type="dxa"/>
            <w:tcBorders>
              <w:top w:val="single" w:sz="4" w:space="0" w:color="000000"/>
              <w:start w:val="single" w:sz="4" w:space="0" w:color="000000"/>
              <w:bottom w:val="single" w:sz="4" w:space="0" w:color="000000"/>
              <w:end w:val="single" w:sz="4" w:space="0" w:color="000000"/>
            </w:tcBorders>
          </w:tcPr>
          <w:p>
            <w:pPr>
              <w:pStyle w:val="Normal"/>
              <w:rPr/>
            </w:pPr>
            <w:r>
              <w:rPr/>
              <w:t>All services outlined in this SOW are provided during normal business hours (8am-5pm, Monday-Friday).  Any requirements for services outside this timeframe will be billed at 1.5 times the standard hourly rate.</w:t>
            </w:r>
          </w:p>
        </w:tc>
      </w:tr>
      <w:tr>
        <w:trPr/>
        <w:tc>
          <w:tcPr>
            <w:tcW w:w="10710" w:type="dxa"/>
            <w:tcBorders>
              <w:top w:val="single" w:sz="4" w:space="0" w:color="000000"/>
              <w:start w:val="single" w:sz="4" w:space="0" w:color="000000"/>
              <w:bottom w:val="single" w:sz="4" w:space="0" w:color="000000"/>
              <w:end w:val="single" w:sz="4" w:space="0" w:color="000000"/>
            </w:tcBorders>
          </w:tcPr>
          <w:p>
            <w:pPr>
              <w:pStyle w:val="Normal"/>
              <w:rPr/>
            </w:pPr>
            <w:r>
              <w:rPr/>
              <w:t>Enron will be invoiced for all retained hours for Program Management at the beginning of each month.  Unused hours may not be carried over to succeeding months.</w:t>
            </w:r>
          </w:p>
        </w:tc>
      </w:tr>
      <w:tr>
        <w:trPr/>
        <w:tc>
          <w:tcPr>
            <w:tcW w:w="10710" w:type="dxa"/>
            <w:tcBorders>
              <w:top w:val="single" w:sz="4" w:space="0" w:color="000000"/>
              <w:start w:val="single" w:sz="4" w:space="0" w:color="000000"/>
              <w:bottom w:val="single" w:sz="4" w:space="0" w:color="000000"/>
              <w:end w:val="single" w:sz="4" w:space="0" w:color="000000"/>
            </w:tcBorders>
          </w:tcPr>
          <w:p>
            <w:pPr>
              <w:pStyle w:val="Normal"/>
              <w:rPr/>
            </w:pPr>
            <w:r>
              <w:rPr/>
              <w:t>If the Program Manager is required to work more than the number of retained hours in a given month, an hourly rate that corresponds to the existing package rate will apply.</w:t>
            </w:r>
          </w:p>
        </w:tc>
      </w:tr>
      <w:tr>
        <w:trPr/>
        <w:tc>
          <w:tcPr>
            <w:tcW w:w="10710" w:type="dxa"/>
            <w:tcBorders>
              <w:top w:val="single" w:sz="4" w:space="0" w:color="000000"/>
              <w:start w:val="single" w:sz="4" w:space="0" w:color="000000"/>
              <w:bottom w:val="single" w:sz="4" w:space="0" w:color="000000"/>
              <w:end w:val="single" w:sz="4" w:space="0" w:color="000000"/>
            </w:tcBorders>
          </w:tcPr>
          <w:p>
            <w:pPr>
              <w:pStyle w:val="Normal"/>
              <w:rPr>
                <w:b/>
                <w:sz w:val="24"/>
                <w:u w:val="single"/>
              </w:rPr>
            </w:pPr>
            <w:r>
              <w:rPr/>
              <w:t>Exodus will not be held responsible for any project delays caused by third parties including service providers, carriers and contractors.  Additional project costs associated with, or caused by, third parties will be the responsibility of Enron.</w:t>
            </w:r>
          </w:p>
        </w:tc>
      </w:tr>
    </w:tbl>
    <w:p>
      <w:pPr>
        <w:pStyle w:val="Normal"/>
        <w:jc w:val="both"/>
        <w:rPr/>
      </w:pPr>
      <w:r>
        <w:rPr/>
      </w:r>
    </w:p>
    <w:p>
      <w:pPr>
        <w:pStyle w:val="Normal"/>
        <w:jc w:val="both"/>
        <w:rPr/>
      </w:pPr>
      <w:r>
        <w:rPr/>
      </w:r>
    </w:p>
    <w:p>
      <w:pPr>
        <w:pStyle w:val="Normal"/>
        <w:jc w:val="both"/>
        <w:rPr>
          <w:b/>
          <w:sz w:val="24"/>
          <w:u w:val="single"/>
        </w:rPr>
      </w:pPr>
      <w:r>
        <w:rPr>
          <w:b/>
          <w:sz w:val="24"/>
          <w:u w:val="single"/>
        </w:rPr>
        <w:t>Controls</w:t>
      </w:r>
    </w:p>
    <w:p>
      <w:pPr>
        <w:pStyle w:val="Normal"/>
        <w:jc w:val="both"/>
        <w:rPr>
          <w:b/>
          <w:sz w:val="16"/>
          <w:u w:val="single"/>
        </w:rPr>
      </w:pPr>
      <w:r>
        <w:rPr>
          <w:b/>
          <w:sz w:val="16"/>
          <w:u w:val="single"/>
        </w:rPr>
      </w:r>
    </w:p>
    <w:p>
      <w:pPr>
        <w:pStyle w:val="Normal"/>
        <w:jc w:val="both"/>
        <w:rPr>
          <w:sz w:val="16"/>
        </w:rPr>
      </w:pPr>
      <w:r>
        <w:rPr>
          <w:sz w:val="16"/>
        </w:rPr>
        <w:t>Exodus will maintain a project schedule for this service.  The Service Director and the Customer’s Primary Contact will meet or speak periodically to review the progress of the service and adherence to schedule.  Needed adjustments will be published by the Service Director or assigned designee.</w:t>
      </w:r>
    </w:p>
    <w:p>
      <w:pPr>
        <w:pStyle w:val="Heading2"/>
        <w:numPr>
          <w:ilvl w:val="0"/>
          <w:numId w:val="0"/>
        </w:numPr>
        <w:spacing w:before="0" w:after="0"/>
        <w:ind w:hanging="0" w:start="0"/>
        <w:jc w:val="both"/>
        <w:rPr>
          <w:sz w:val="20"/>
        </w:rPr>
      </w:pPr>
      <w:r>
        <w:rPr>
          <w:sz w:val="20"/>
        </w:rPr>
      </w:r>
    </w:p>
    <w:p>
      <w:pPr>
        <w:pStyle w:val="Heading2"/>
        <w:numPr>
          <w:ilvl w:val="0"/>
          <w:numId w:val="0"/>
        </w:numPr>
        <w:spacing w:before="0" w:after="0"/>
        <w:ind w:hanging="0" w:start="0"/>
        <w:jc w:val="both"/>
        <w:rPr>
          <w:sz w:val="20"/>
        </w:rPr>
      </w:pPr>
      <w:r>
        <w:rPr>
          <w:sz w:val="20"/>
        </w:rPr>
        <w:t>Status Reporting</w:t>
      </w:r>
    </w:p>
    <w:p>
      <w:pPr>
        <w:pStyle w:val="Normal"/>
        <w:jc w:val="both"/>
        <w:rPr>
          <w:sz w:val="16"/>
        </w:rPr>
      </w:pPr>
      <w:r>
        <w:rPr>
          <w:sz w:val="16"/>
        </w:rPr>
        <w:t>A Service Director will review status reports on a weekly basis to monitor project progress, determine that the project scope is consistent with the project goals, and resolve outstanding issues.  Primary contacts will be designated by Customer and Exodus prior to delivery of any Services.  Exodus contacts may include a Service Director, a Project Manager, an assigned consultant and representative from Exodus sales.  Exodus recommends that Customer's representatives include representation from Customer subcontractors or other project constituents.  The Service Director will record all responses and will be responsible to publish and distribute any follow-up information resulting from these proceedings.</w:t>
      </w:r>
    </w:p>
    <w:p>
      <w:pPr>
        <w:pStyle w:val="Normal"/>
        <w:jc w:val="both"/>
        <w:rPr>
          <w:sz w:val="16"/>
        </w:rPr>
      </w:pPr>
      <w:r>
        <w:rPr>
          <w:sz w:val="16"/>
        </w:rPr>
      </w:r>
    </w:p>
    <w:p>
      <w:pPr>
        <w:pStyle w:val="Normal"/>
        <w:jc w:val="both"/>
        <w:rPr>
          <w:sz w:val="16"/>
        </w:rPr>
      </w:pPr>
      <w:r>
        <w:rPr>
          <w:sz w:val="16"/>
        </w:rPr>
        <w:t>The Service Director and the Customer Primary Contact will address day-to-day issues associated with these tasks.  When issues cannot be resolved at that level, they will be escalated within Exodus Professional Services and reviewed weekly.  Exodus and Customer will use their best efforts to plan resolution.  When open items require immediate attention, they may be escalated to appropriate members of Exodus Professional Services.  These members shall discuss the item by phone or by convening a special meeting, and attempt to resolve the issue promptly.</w:t>
      </w:r>
    </w:p>
    <w:p>
      <w:pPr>
        <w:pStyle w:val="Heading2"/>
        <w:numPr>
          <w:ilvl w:val="0"/>
          <w:numId w:val="0"/>
        </w:numPr>
        <w:spacing w:before="0" w:after="0"/>
        <w:ind w:hanging="0" w:start="0"/>
        <w:jc w:val="both"/>
        <w:rPr>
          <w:sz w:val="20"/>
        </w:rPr>
      </w:pPr>
      <w:r>
        <w:rPr>
          <w:sz w:val="20"/>
        </w:rPr>
      </w:r>
    </w:p>
    <w:p>
      <w:pPr>
        <w:pStyle w:val="Heading2"/>
        <w:numPr>
          <w:ilvl w:val="0"/>
          <w:numId w:val="0"/>
        </w:numPr>
        <w:spacing w:before="0" w:after="0"/>
        <w:ind w:hanging="0" w:start="0"/>
        <w:jc w:val="both"/>
        <w:rPr>
          <w:sz w:val="20"/>
        </w:rPr>
      </w:pPr>
      <w:r>
        <w:rPr>
          <w:sz w:val="20"/>
        </w:rPr>
        <w:t>Change Control</w:t>
      </w:r>
    </w:p>
    <w:p>
      <w:pPr>
        <w:pStyle w:val="Normal"/>
        <w:jc w:val="both"/>
        <w:rPr>
          <w:sz w:val="16"/>
        </w:rPr>
      </w:pPr>
      <w:r>
        <w:rPr>
          <w:sz w:val="16"/>
        </w:rPr>
        <w:t>There are several issues and events that could result in the need to change this SOW and the Services to be delivered by Exodus.  These issues include, but are not limited to, new features, new functionality, alternate functionality, and unforeseen design issues.  Proposed changes to this SOW by Exodus or the Customer (“Change Request”) may impact the project schedule, cost, price, documentation, and training.  Any and all material changes to this SOW must be understood and accepted by Customer and Exodus in order to track and maintain control of the project and appropriately adjust fees and expenses.</w:t>
      </w:r>
    </w:p>
    <w:p>
      <w:pPr>
        <w:pStyle w:val="Normal"/>
        <w:jc w:val="both"/>
        <w:rPr>
          <w:sz w:val="16"/>
        </w:rPr>
      </w:pPr>
      <w:r>
        <w:rPr>
          <w:sz w:val="16"/>
        </w:rPr>
      </w:r>
    </w:p>
    <w:p>
      <w:pPr>
        <w:pStyle w:val="Normal"/>
        <w:jc w:val="both"/>
        <w:rPr>
          <w:sz w:val="16"/>
        </w:rPr>
      </w:pPr>
      <w:r>
        <w:rPr>
          <w:sz w:val="16"/>
        </w:rPr>
        <w:t>Customer acknowledges that the evaluation of a Change Request may require the time of key Exodus personnel providing services to Customer and, therefore, may impact the schedule of the delivery of services.  Customer agrees that Exodus may charge Customer at its then current rates for the evaluation process (subject to the maximum number of hours per request designated by Customer) and any additional services resulting from the Change Request.</w:t>
      </w:r>
    </w:p>
    <w:p>
      <w:pPr>
        <w:pStyle w:val="Normal"/>
        <w:jc w:val="both"/>
        <w:rPr>
          <w:sz w:val="16"/>
        </w:rPr>
      </w:pPr>
      <w:r>
        <w:rPr>
          <w:sz w:val="16"/>
        </w:rPr>
      </w:r>
    </w:p>
    <w:p>
      <w:pPr>
        <w:pStyle w:val="Normal"/>
        <w:jc w:val="both"/>
        <w:rPr>
          <w:sz w:val="16"/>
        </w:rPr>
      </w:pPr>
      <w:r>
        <w:rPr>
          <w:sz w:val="16"/>
        </w:rPr>
        <w:t>Any Change Request related to this SOW must be submitted in writing and are subject to acceptance by Exodus.  The following Change Control Process will be observed:</w:t>
      </w:r>
    </w:p>
    <w:p>
      <w:pPr>
        <w:pStyle w:val="Normal"/>
        <w:ind w:start="360" w:end="0"/>
        <w:jc w:val="both"/>
        <w:rPr>
          <w:sz w:val="16"/>
        </w:rPr>
      </w:pPr>
      <w:r>
        <w:rPr>
          <w:sz w:val="16"/>
        </w:rPr>
      </w:r>
    </w:p>
    <w:p>
      <w:pPr>
        <w:pStyle w:val="Normal"/>
        <w:numPr>
          <w:ilvl w:val="0"/>
          <w:numId w:val="5"/>
        </w:numPr>
        <w:jc w:val="both"/>
        <w:rPr>
          <w:sz w:val="16"/>
        </w:rPr>
      </w:pPr>
      <w:r>
        <w:rPr>
          <w:sz w:val="16"/>
        </w:rPr>
        <w:t xml:space="preserve">Customer's Primary Contact, working closely with the Exodus Services Director, will complete a Change Request Form (Appendix B) to </w:t>
      </w:r>
      <w:r>
        <w:rPr>
          <w:i/>
          <w:sz w:val="16"/>
        </w:rPr>
        <w:t>clearly</w:t>
      </w:r>
      <w:r>
        <w:rPr>
          <w:sz w:val="16"/>
        </w:rPr>
        <w:t xml:space="preserve"> </w:t>
      </w:r>
      <w:r>
        <w:rPr>
          <w:i/>
          <w:sz w:val="16"/>
        </w:rPr>
        <w:t>identify</w:t>
      </w:r>
      <w:r>
        <w:rPr>
          <w:sz w:val="16"/>
        </w:rPr>
        <w:t xml:space="preserve"> the request.  The Change Request Form must identify in reasonable detail (1) a complete summary the change requested, (2) the individual and organization requesting the change, (3)  the reason for the change and (4) when the change is needed in relation to the other services set forth in the SOW.</w:t>
      </w:r>
    </w:p>
    <w:p>
      <w:pPr>
        <w:pStyle w:val="Normal"/>
        <w:ind w:hanging="360" w:start="720" w:end="0"/>
        <w:jc w:val="both"/>
        <w:rPr>
          <w:sz w:val="16"/>
        </w:rPr>
      </w:pPr>
      <w:r>
        <w:rPr>
          <w:sz w:val="16"/>
        </w:rPr>
      </w:r>
    </w:p>
    <w:p>
      <w:pPr>
        <w:pStyle w:val="Normal"/>
        <w:numPr>
          <w:ilvl w:val="0"/>
          <w:numId w:val="5"/>
        </w:numPr>
        <w:jc w:val="both"/>
        <w:rPr>
          <w:sz w:val="16"/>
        </w:rPr>
      </w:pPr>
      <w:r>
        <w:rPr>
          <w:sz w:val="16"/>
        </w:rPr>
        <w:t>Exodus will use commercially reasonable efforts to, within two business day, review the Change Request and provide Customer with an estimate the time, schedule and cost for the evaluation of the Change Request.  Exodus will not provide a complete evaluation and analysis of the Change Request until it has received written approval from Customer to proceed with the review.</w:t>
      </w:r>
    </w:p>
    <w:p>
      <w:pPr>
        <w:pStyle w:val="Normal"/>
        <w:ind w:hanging="360" w:start="720" w:end="0"/>
        <w:jc w:val="both"/>
        <w:rPr>
          <w:sz w:val="16"/>
        </w:rPr>
      </w:pPr>
      <w:r>
        <w:rPr>
          <w:sz w:val="16"/>
        </w:rPr>
      </w:r>
    </w:p>
    <w:p>
      <w:pPr>
        <w:pStyle w:val="Normal"/>
        <w:numPr>
          <w:ilvl w:val="0"/>
          <w:numId w:val="5"/>
        </w:numPr>
        <w:jc w:val="both"/>
        <w:rPr>
          <w:sz w:val="16"/>
        </w:rPr>
      </w:pPr>
      <w:r>
        <w:rPr>
          <w:sz w:val="16"/>
        </w:rPr>
        <w:t>Following receipt of Customer approval, Exodus will perform the evaluation and analysis, considering the design, code, documentation, training, operations, maintenance and support aspects of the change.  Exodus will assess the feasibility of the change, the impact to other project components, the impact to schedule and any additional cost and fees.</w:t>
      </w:r>
    </w:p>
    <w:p>
      <w:pPr>
        <w:pStyle w:val="Normal"/>
        <w:ind w:hanging="360" w:start="720" w:end="0"/>
        <w:jc w:val="both"/>
        <w:rPr>
          <w:sz w:val="16"/>
        </w:rPr>
      </w:pPr>
      <w:r>
        <w:rPr>
          <w:sz w:val="16"/>
        </w:rPr>
      </w:r>
    </w:p>
    <w:p>
      <w:pPr>
        <w:pStyle w:val="Normal"/>
        <w:numPr>
          <w:ilvl w:val="0"/>
          <w:numId w:val="5"/>
        </w:numPr>
        <w:jc w:val="both"/>
        <w:rPr>
          <w:sz w:val="16"/>
        </w:rPr>
      </w:pPr>
      <w:r>
        <w:rPr>
          <w:sz w:val="16"/>
        </w:rPr>
        <w:t>Exodus will use commercially reasonable efforts to prepare and deliver to Customer Primary Contact within three business days a complete written response to the Change Request.</w:t>
      </w:r>
    </w:p>
    <w:p>
      <w:pPr>
        <w:pStyle w:val="Normal"/>
        <w:ind w:hanging="360" w:start="720" w:end="0"/>
        <w:jc w:val="both"/>
        <w:rPr>
          <w:sz w:val="16"/>
          <w:u w:val="single"/>
        </w:rPr>
      </w:pPr>
      <w:r>
        <w:rPr>
          <w:sz w:val="16"/>
          <w:u w:val="single"/>
        </w:rPr>
      </w:r>
    </w:p>
    <w:p>
      <w:pPr>
        <w:pStyle w:val="Normal"/>
        <w:numPr>
          <w:ilvl w:val="0"/>
          <w:numId w:val="5"/>
        </w:numPr>
        <w:jc w:val="both"/>
        <w:rPr>
          <w:sz w:val="16"/>
        </w:rPr>
      </w:pPr>
      <w:r>
        <w:rPr>
          <w:sz w:val="16"/>
        </w:rPr>
        <w:t xml:space="preserve">Upon receipt of written authorization from Customer, Exodus will incorporate the Change Request into the project, updating the schedule, project documentation and related Deliverables to track the change. </w:t>
      </w:r>
    </w:p>
    <w:p>
      <w:pPr>
        <w:pStyle w:val="Normal"/>
        <w:jc w:val="both"/>
        <w:rPr>
          <w:sz w:val="16"/>
        </w:rPr>
      </w:pPr>
      <w:r>
        <w:rPr>
          <w:sz w:val="16"/>
        </w:rPr>
      </w:r>
    </w:p>
    <w:p>
      <w:pPr>
        <w:pStyle w:val="Normal"/>
        <w:jc w:val="both"/>
        <w:rPr>
          <w:sz w:val="16"/>
        </w:rPr>
      </w:pPr>
      <w:r>
        <w:rPr>
          <w:sz w:val="16"/>
        </w:rPr>
        <w:t xml:space="preserve">In the event that any dependencies, prerequisites, or assumptions specified in this SOW are not met, a Change Order process will be followed.  A Change Order form (see Attachment C) will be submitted by an Exodus Professional Services representative in order to initiate a change.  The Change Order process will follow the same flow and rules as the Change Request process.  In the event Customer does not respond to or accept a Change Order within two business days of receipt from Exodus, the Change Order shall be deemed accepted by Customer and will be incorporated into the SOW. </w:t>
      </w:r>
    </w:p>
    <w:p>
      <w:pPr>
        <w:pStyle w:val="Heading2"/>
        <w:keepLines/>
        <w:numPr>
          <w:ilvl w:val="0"/>
          <w:numId w:val="0"/>
        </w:numPr>
        <w:spacing w:before="0" w:after="0"/>
        <w:ind w:hanging="0" w:start="0"/>
        <w:jc w:val="both"/>
        <w:rPr>
          <w:sz w:val="20"/>
        </w:rPr>
      </w:pPr>
      <w:r>
        <w:rPr>
          <w:sz w:val="20"/>
        </w:rPr>
      </w:r>
    </w:p>
    <w:p>
      <w:pPr>
        <w:pStyle w:val="Heading2"/>
        <w:keepLines/>
        <w:numPr>
          <w:ilvl w:val="0"/>
          <w:numId w:val="0"/>
        </w:numPr>
        <w:spacing w:before="0" w:after="0"/>
        <w:ind w:hanging="0" w:start="0"/>
        <w:jc w:val="both"/>
        <w:rPr>
          <w:sz w:val="20"/>
        </w:rPr>
      </w:pPr>
      <w:r>
        <w:rPr>
          <w:sz w:val="20"/>
        </w:rPr>
        <w:t>Delaying Events</w:t>
      </w:r>
    </w:p>
    <w:p>
      <w:pPr>
        <w:pStyle w:val="Normal"/>
        <w:keepNext w:val="true"/>
        <w:keepLines/>
        <w:jc w:val="both"/>
        <w:rPr>
          <w:sz w:val="16"/>
        </w:rPr>
      </w:pPr>
      <w:r>
        <w:rPr>
          <w:sz w:val="16"/>
        </w:rPr>
        <w:t>Any delay(s) caused by either party, including but not limited to (i) the unavailability of systems, support or facilities as stipulated in the SOW or in the agreed project schedule, (ii) the failure to resolve pending issues, dependencies, and prerequisites by the specified dates, and (iii) failure to deliver or accept Deliverables as specified may result in a corresponding extension of time to complete the Project and the issuance of a Change Order as described above in the Change Control section.</w:t>
      </w:r>
    </w:p>
    <w:p>
      <w:pPr>
        <w:pStyle w:val="Normal"/>
        <w:ind w:start="360" w:end="0"/>
        <w:jc w:val="both"/>
        <w:rPr>
          <w:sz w:val="16"/>
        </w:rPr>
      </w:pPr>
      <w:r>
        <w:rPr>
          <w:sz w:val="16"/>
        </w:rPr>
      </w:r>
    </w:p>
    <w:p>
      <w:pPr>
        <w:pStyle w:val="Normal"/>
        <w:jc w:val="both"/>
        <w:rPr>
          <w:sz w:val="24"/>
        </w:rPr>
      </w:pPr>
      <w:r>
        <w:rPr>
          <w:sz w:val="24"/>
        </w:rPr>
      </w:r>
    </w:p>
    <w:p>
      <w:pPr>
        <w:pStyle w:val="Normal"/>
        <w:rPr>
          <w:b/>
          <w:u w:val="single"/>
        </w:rPr>
      </w:pPr>
      <w:r>
        <w:rPr>
          <w:b/>
          <w:sz w:val="24"/>
          <w:u w:val="single"/>
        </w:rPr>
        <w:t>Acceptance Procedures</w:t>
      </w:r>
    </w:p>
    <w:p>
      <w:pPr>
        <w:pStyle w:val="Normal"/>
        <w:rPr>
          <w:b/>
          <w:u w:val="single"/>
        </w:rPr>
      </w:pPr>
      <w:r>
        <w:rPr>
          <w:b/>
          <w:u w:val="single"/>
        </w:rPr>
      </w:r>
    </w:p>
    <w:p>
      <w:pPr>
        <w:pStyle w:val="Normal"/>
        <w:jc w:val="both"/>
        <w:rPr>
          <w:sz w:val="16"/>
        </w:rPr>
      </w:pPr>
      <w:r>
        <w:rPr>
          <w:sz w:val="16"/>
        </w:rPr>
        <w:t>Customer will indicate their acceptance of each deliverable by signing the Certificate of Acceptance (Attachment A) and forwarding it to Exodus.  Deliverables will be presented for acceptance in accordance with the Acceptance Criteria of the Deliverables section of this SOW.  Within two days of receipt from Exodus, Customer will either (i) accept the Deliverable or (ii) reject the Deliverable by notifying the Exodus Services Director in writing of the deficiencies pursuant to the Acceptance Criteria.  In the event Customer rejects the Deliverable, Exodus will use commercially reasonable efforts to correct any defects, inaccuracies, inconsistencies and/or program errors and will resubmit the product to Customer for acceptance.</w:t>
      </w:r>
    </w:p>
    <w:p>
      <w:pPr>
        <w:pStyle w:val="Normal"/>
        <w:jc w:val="both"/>
        <w:rPr>
          <w:sz w:val="16"/>
        </w:rPr>
      </w:pPr>
      <w:r>
        <w:rPr>
          <w:sz w:val="16"/>
        </w:rPr>
      </w:r>
    </w:p>
    <w:p>
      <w:pPr>
        <w:pStyle w:val="Normal"/>
        <w:jc w:val="both"/>
        <w:rPr>
          <w:sz w:val="16"/>
        </w:rPr>
      </w:pPr>
      <w:r>
        <w:rPr>
          <w:sz w:val="16"/>
        </w:rPr>
        <w:t>In the event any or all of the Deliverables are rejected by Customer, then Customer and Exodus representatives will reach a mutually acceptable agreement for reasonable charges to be paid to Exodus for work performed up to the date of Customer rejection.</w:t>
      </w:r>
    </w:p>
    <w:p>
      <w:pPr>
        <w:pStyle w:val="Normal"/>
        <w:jc w:val="both"/>
        <w:rPr>
          <w:sz w:val="16"/>
        </w:rPr>
      </w:pPr>
      <w:r>
        <w:rPr>
          <w:sz w:val="16"/>
        </w:rPr>
      </w:r>
    </w:p>
    <w:p>
      <w:pPr>
        <w:pStyle w:val="Normal"/>
        <w:jc w:val="both"/>
        <w:rPr>
          <w:sz w:val="16"/>
        </w:rPr>
      </w:pPr>
      <w:r>
        <w:rPr>
          <w:sz w:val="16"/>
        </w:rPr>
        <w:t>Notwithstanding the foregoing, a Deliverable shall be deemed accepted upon the occurrence of any of the following: (i) Customer puts a Deliverable into a production or development environment or uses the Deliverable under essentially normal operating conditions; or (ii) Customer fails to reject the Deliverable within two business days of receipt.</w:t>
      </w:r>
    </w:p>
    <w:p>
      <w:pPr>
        <w:pStyle w:val="Normal"/>
        <w:rPr>
          <w:sz w:val="16"/>
        </w:rPr>
      </w:pPr>
      <w:r>
        <w:rPr>
          <w:sz w:val="16"/>
        </w:rPr>
      </w:r>
    </w:p>
    <w:p>
      <w:pPr>
        <w:pStyle w:val="Normal"/>
        <w:rPr>
          <w:sz w:val="16"/>
        </w:rPr>
      </w:pPr>
      <w:r>
        <w:rPr>
          <w:sz w:val="16"/>
        </w:rPr>
      </w:r>
    </w:p>
    <w:p>
      <w:pPr>
        <w:pStyle w:val="Normal"/>
        <w:rPr>
          <w:b/>
          <w:sz w:val="24"/>
          <w:u w:val="single"/>
        </w:rPr>
      </w:pPr>
      <w:r>
        <w:rPr>
          <w:b/>
          <w:sz w:val="24"/>
          <w:u w:val="single"/>
        </w:rPr>
        <w:t>Statement of Work Signatures</w:t>
      </w:r>
    </w:p>
    <w:p>
      <w:pPr>
        <w:pStyle w:val="Normal"/>
        <w:rPr>
          <w:b/>
          <w:sz w:val="24"/>
          <w:u w:val="single"/>
        </w:rPr>
      </w:pPr>
      <w:r>
        <w:rPr>
          <w:b/>
          <w:sz w:val="24"/>
          <w:u w:val="single"/>
        </w:rPr>
      </w:r>
    </w:p>
    <w:p>
      <w:pPr>
        <w:pStyle w:val="Normal"/>
        <w:rPr/>
      </w:pPr>
      <w:r>
        <w:rPr/>
        <w:t xml:space="preserve">Exodus and Customer agree to this SOW and Customer hereby authorizes commencement of the service. </w:t>
      </w:r>
    </w:p>
    <w:p>
      <w:pPr>
        <w:pStyle w:val="Normal"/>
        <w:rPr>
          <w:sz w:val="16"/>
        </w:rPr>
      </w:pPr>
      <w:r>
        <w:rPr>
          <w:sz w:val="16"/>
        </w:rPr>
      </w:r>
    </w:p>
    <w:p>
      <w:pPr>
        <w:pStyle w:val="Normal"/>
        <w:rPr>
          <w:b/>
        </w:rPr>
      </w:pPr>
      <w:r>
        <w:rPr>
          <w:b/>
        </w:rPr>
        <w:tab/>
        <w:tab/>
        <w:tab/>
        <w:tab/>
        <w:tab/>
        <w:tab/>
      </w:r>
    </w:p>
    <w:p>
      <w:pPr>
        <w:pStyle w:val="Normal"/>
        <w:rPr>
          <w:b/>
        </w:rPr>
      </w:pPr>
      <w:r>
        <w:rPr>
          <w:b/>
        </w:rPr>
        <w:t>Enron</w:t>
        <w:tab/>
        <w:t xml:space="preserve"> </w:t>
        <w:tab/>
        <w:tab/>
        <w:tab/>
        <w:tab/>
        <w:tab/>
        <w:t>Exodus Communications, Inc.</w:t>
      </w:r>
    </w:p>
    <w:p>
      <w:pPr>
        <w:pStyle w:val="Normal"/>
        <w:rPr>
          <w:b/>
        </w:rPr>
      </w:pPr>
      <w:r>
        <w:rPr>
          <w:b/>
        </w:rPr>
      </w:r>
    </w:p>
    <w:p>
      <w:pPr>
        <w:pStyle w:val="Normal"/>
        <w:rPr>
          <w:b/>
        </w:rPr>
      </w:pPr>
      <w:r>
        <w:rPr>
          <w:b/>
        </w:rPr>
      </w:r>
    </w:p>
    <w:p>
      <w:pPr>
        <w:pStyle w:val="Normal"/>
        <w:rPr/>
      </w:pPr>
      <w:r>
        <w:rPr>
          <w:u w:val="single"/>
        </w:rPr>
        <w:tab/>
        <w:tab/>
        <w:tab/>
        <w:tab/>
        <w:tab/>
      </w:r>
      <w:r>
        <w:rPr/>
        <w:tab/>
      </w:r>
      <w:r>
        <w:rPr>
          <w:u w:val="single"/>
        </w:rPr>
        <w:tab/>
        <w:tab/>
        <w:tab/>
        <w:tab/>
        <w:tab/>
      </w:r>
    </w:p>
    <w:p>
      <w:pPr>
        <w:pStyle w:val="Normal"/>
        <w:rPr/>
      </w:pPr>
      <w:r>
        <w:rPr/>
        <w:t>Signature</w:t>
      </w:r>
      <w:r>
        <w:rPr>
          <w:color w:val="FF0000"/>
        </w:rPr>
        <w:tab/>
        <w:tab/>
      </w:r>
      <w:r>
        <w:rPr/>
        <w:tab/>
        <w:tab/>
        <w:tab/>
        <w:t xml:space="preserve">Signature </w:t>
      </w:r>
    </w:p>
    <w:p>
      <w:pPr>
        <w:pStyle w:val="Normal"/>
        <w:rPr/>
      </w:pPr>
      <w:r>
        <w:rPr/>
      </w:r>
    </w:p>
    <w:p>
      <w:pPr>
        <w:pStyle w:val="Normal"/>
        <w:rPr>
          <w:b/>
          <w:u w:val="single"/>
        </w:rPr>
      </w:pPr>
      <w:r>
        <w:rPr>
          <w:u w:val="single"/>
        </w:rPr>
        <w:tab/>
        <w:tab/>
        <w:tab/>
        <w:tab/>
        <w:tab/>
      </w:r>
      <w:r>
        <w:rPr/>
        <w:tab/>
      </w:r>
      <w:r>
        <w:rPr>
          <w:u w:val="single"/>
        </w:rPr>
        <w:tab/>
        <w:tab/>
        <w:tab/>
        <w:tab/>
        <w:tab/>
      </w:r>
    </w:p>
    <w:p>
      <w:pPr>
        <w:pStyle w:val="Normal"/>
        <w:rPr/>
      </w:pPr>
      <w:r>
        <w:rPr/>
        <w:t>Name</w:t>
        <w:tab/>
        <w:tab/>
        <w:tab/>
        <w:tab/>
        <w:tab/>
        <w:tab/>
        <w:t>Name</w:t>
      </w:r>
    </w:p>
    <w:p>
      <w:pPr>
        <w:pStyle w:val="Normal"/>
        <w:rPr/>
      </w:pPr>
      <w:r>
        <w:rPr/>
      </w:r>
    </w:p>
    <w:p>
      <w:pPr>
        <w:pStyle w:val="Normal"/>
        <w:rPr>
          <w:b/>
          <w:u w:val="single"/>
        </w:rPr>
      </w:pPr>
      <w:r>
        <w:rPr>
          <w:u w:val="single"/>
        </w:rPr>
        <w:tab/>
        <w:tab/>
        <w:tab/>
        <w:tab/>
        <w:tab/>
      </w:r>
      <w:r>
        <w:rPr/>
        <w:tab/>
      </w:r>
      <w:r>
        <w:rPr>
          <w:u w:val="single"/>
        </w:rPr>
        <w:tab/>
        <w:tab/>
        <w:tab/>
        <w:tab/>
        <w:tab/>
      </w:r>
    </w:p>
    <w:p>
      <w:pPr>
        <w:pStyle w:val="Normal"/>
        <w:rPr/>
      </w:pPr>
      <w:r>
        <w:rPr/>
        <w:t>Title</w:t>
        <w:tab/>
        <w:tab/>
        <w:tab/>
        <w:tab/>
        <w:tab/>
        <w:tab/>
        <w:t>Title</w:t>
      </w:r>
    </w:p>
    <w:p>
      <w:pPr>
        <w:pStyle w:val="Normal"/>
        <w:rPr/>
      </w:pPr>
      <w:r>
        <w:rPr/>
      </w:r>
    </w:p>
    <w:p>
      <w:pPr>
        <w:pStyle w:val="Normal"/>
        <w:rPr>
          <w:b/>
          <w:u w:val="single"/>
        </w:rPr>
      </w:pPr>
      <w:r>
        <w:rPr>
          <w:u w:val="single"/>
        </w:rPr>
        <w:tab/>
        <w:tab/>
        <w:tab/>
        <w:tab/>
        <w:tab/>
      </w:r>
      <w:r>
        <w:rPr/>
        <w:tab/>
      </w:r>
      <w:r>
        <w:rPr>
          <w:u w:val="single"/>
        </w:rPr>
        <w:tab/>
        <w:tab/>
        <w:tab/>
        <w:tab/>
        <w:tab/>
      </w:r>
    </w:p>
    <w:p>
      <w:pPr>
        <w:pStyle w:val="Normal"/>
        <w:rPr/>
      </w:pPr>
      <w:r>
        <w:rPr/>
        <w:t>Effective Date</w:t>
        <w:tab/>
        <w:tab/>
        <w:tab/>
        <w:tab/>
        <w:tab/>
        <w:t>Date</w:t>
      </w:r>
    </w:p>
    <w:p>
      <w:pPr>
        <w:pStyle w:val="Normal"/>
        <w:rPr/>
      </w:pPr>
      <w:r>
        <w:rPr/>
      </w:r>
    </w:p>
    <w:sectPr>
      <w:headerReference w:type="default" r:id="rId2"/>
      <w:headerReference w:type="first" r:id="rId3"/>
      <w:footerReference w:type="default" r:id="rId4"/>
      <w:footerReference w:type="first" r:id="rId5"/>
      <w:type w:val="nextPage"/>
      <w:pgSz w:w="12240" w:h="15840"/>
      <w:pgMar w:left="720" w:right="720" w:gutter="0" w:header="360" w:top="720" w:footer="374"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Sabon">
    <w:charset w:val="00" w:characterSet="windows-1252"/>
    <w:family w:val="roman"/>
    <w:pitch w:val="variable"/>
  </w:font>
  <w:font w:name="New York">
    <w:charset w:val="00" w:characterSet="windows-1252"/>
    <w:family w:val="roman"/>
    <w:pitch w:val="variable"/>
  </w:font>
  <w:font w:name="N Helvetica Narrow">
    <w:altName w:val="Times New Roman"/>
    <w:charset w:val="00" w:characterSet="windows-1252"/>
    <w:family w:val="auto"/>
    <w:pitch w:val="default"/>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60" w:after="60"/>
      <w:rPr>
        <w:rFonts w:ascii="Times;Times New Roman" w:hAnsi="Times;Times New Roman" w:cs="Times;Times New Roman"/>
      </w:rPr>
    </w:pPr>
    <w:r>
      <w:rPr>
        <w:rFonts w:cs="Times;Times New Roman" w:ascii="Times;Times New Roman" w:hAnsi="Times;Times New Roman"/>
      </w:rPr>
    </w:r>
  </w:p>
  <w:p>
    <w:pPr>
      <w:pStyle w:val="Footer"/>
      <w:rPr/>
    </w:pPr>
    <w:r>
      <w:rPr/>
      <w:t xml:space="preserve">   </w:t>
    </w:r>
    <w:r>
      <w:rPr/>
      <w:t xml:space="preserve">CONFIDENTIAL  </w:t>
      <w:tab/>
      <w:t xml:space="preserve">                                </w:t>
    </w: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3</w:t>
    </w:r>
    <w:r>
      <w:rPr>
        <w:lang w:eastAsia="en-US"/>
      </w:rPr>
      <w:fldChar w:fldCharType="end"/>
    </w:r>
    <w:r>
      <w:rPr/>
      <w:tab/>
      <w:t xml:space="preserve">                                                          Customer Initials ________</w:t>
    </w:r>
  </w:p>
  <w:p>
    <w:pPr>
      <w:pStyle w:val="Footer"/>
      <w:rPr/>
    </w:pPr>
    <w:r>
      <w:rPr/>
      <w:tab/>
      <w:tab/>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CONFIDENTIAL</w:t>
      <w:tab/>
      <w:t xml:space="preserve">           </w:t>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1</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3</w:t>
    </w:r>
    <w:r>
      <w:rPr>
        <w:lang w:eastAsia="en-US"/>
      </w:rPr>
      <w:fldChar w:fldCharType="end"/>
    </w:r>
    <w:r>
      <w:rPr/>
      <w:t xml:space="preserve">                                                      Customer Initials ________</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object w:dxaOrig="6749" w:dyaOrig="143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17.6pt;margin-top:-3.6pt;width:140.4pt;height:29.9pt;mso-wrap-distance-left:9.05pt;mso-wrap-distance-right:9.05pt;mso-position-horizontal-relative:text;mso-position-vertical-relative:text" filled="f" o:ole="">
          <v:imagedata r:id="rId2" o:title=""/>
        </v:shape>
        <o:OLEObject Type="Embed" ProgID="" ShapeID="ole_rId1" DrawAspect="Content" ObjectID="_270862615" r:id="rId1"/>
      </w:object>
    </w:r>
    <w:r>
      <w:rPr/>
      <w:t>Prepared for Enron</w:t>
    </w:r>
  </w:p>
  <w:p>
    <w:pPr>
      <w:pStyle w:val="Header"/>
      <w:rPr/>
    </w:pPr>
    <w:r>
      <w:rPr/>
      <w:t>CONFIDENTIAL</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ubheads"/>
      <w:spacing w:lineRule="auto" w:line="240" w:before="0" w:after="0"/>
      <w:rPr>
        <w:spacing w:val="0"/>
        <w:sz w:val="32"/>
        <w:lang w:val="en-CA"/>
      </w:rPr>
    </w:pPr>
    <w:r>
      <w:rPr>
        <w:spacing w:val="0"/>
        <w:sz w:val="32"/>
        <w:lang w:val="en-CA"/>
      </w:rPr>
      <w:object w:dxaOrig="6749" w:dyaOrig="143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17.6pt;margin-top:3.6pt;width:140.4pt;height:29.9pt;mso-wrap-distance-left:9.05pt;mso-wrap-distance-right:9.05pt;mso-position-horizontal-relative:text;mso-position-vertical-relative:text" filled="f" o:ole="">
          <v:imagedata r:id="rId2" o:title=""/>
        </v:shape>
        <o:OLEObject Type="Embed" ProgID="" ShapeID="ole_rId1" DrawAspect="Content" ObjectID="_1105948417" r:id="rId1"/>
      </w:object>
    </w:r>
  </w:p>
  <w:p>
    <w:pPr>
      <w:pStyle w:val="Subheads"/>
      <w:spacing w:lineRule="auto" w:line="240" w:before="0" w:after="0"/>
      <w:rPr>
        <w:spacing w:val="0"/>
        <w:sz w:val="32"/>
      </w:rPr>
    </w:pPr>
    <w:r>
      <w:rPr>
        <w:spacing w:val="0"/>
        <w:sz w:val="32"/>
      </w:rPr>
    </w:r>
  </w:p>
  <w:p>
    <w:pPr>
      <w:pStyle w:val="Header"/>
      <w:rPr>
        <w:spacing w:val="0"/>
        <w:sz w:val="32"/>
      </w:rPr>
    </w:pPr>
    <w:r>
      <w:rPr>
        <w:spacing w:val="0"/>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360"/>
        </w:tabs>
        <w:ind w:start="72" w:hanging="72"/>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numFmt w:val="bullet"/>
      <w:lvlText w:val=""/>
      <w:lvlJc w:val="start"/>
      <w:pPr>
        <w:tabs>
          <w:tab w:val="num" w:pos="36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pageBreakBefore/>
      <w:numPr>
        <w:ilvl w:val="0"/>
        <w:numId w:val="1"/>
      </w:numPr>
      <w:spacing w:before="120" w:after="120"/>
      <w:outlineLvl w:val="0"/>
    </w:pPr>
    <w:rPr>
      <w:b/>
      <w:sz w:val="36"/>
    </w:rPr>
  </w:style>
  <w:style w:type="paragraph" w:styleId="Heading2">
    <w:name w:val="heading 2"/>
    <w:basedOn w:val="Normal"/>
    <w:next w:val="Normal"/>
    <w:qFormat/>
    <w:pPr>
      <w:keepNext w:val="true"/>
      <w:numPr>
        <w:ilvl w:val="1"/>
        <w:numId w:val="1"/>
      </w:numPr>
      <w:shd w:fill="FFFFFF" w:val="clear"/>
      <w:tabs>
        <w:tab w:val="clear" w:pos="720"/>
        <w:tab w:val="left" w:pos="9270" w:leader="none"/>
      </w:tabs>
      <w:spacing w:before="240" w:after="120"/>
      <w:outlineLvl w:val="1"/>
    </w:pPr>
    <w:rPr>
      <w:b/>
      <w:sz w:val="28"/>
    </w:rPr>
  </w:style>
  <w:style w:type="paragraph" w:styleId="Heading3">
    <w:name w:val="heading 3"/>
    <w:basedOn w:val="Normal"/>
    <w:next w:val="Normal"/>
    <w:qFormat/>
    <w:pPr>
      <w:keepNext w:val="true"/>
      <w:numPr>
        <w:ilvl w:val="2"/>
        <w:numId w:val="1"/>
      </w:numPr>
      <w:outlineLvl w:val="2"/>
    </w:pPr>
    <w:rPr>
      <w:rFonts w:ascii="Arial" w:hAnsi="Arial" w:cs="Arial"/>
      <w:b/>
      <w:sz w:val="24"/>
    </w:rPr>
  </w:style>
  <w:style w:type="paragraph" w:styleId="Heading4">
    <w:name w:val="heading 4"/>
    <w:basedOn w:val="Normal"/>
    <w:next w:val="Normal"/>
    <w:qFormat/>
    <w:pPr>
      <w:keepNext w:val="true"/>
      <w:numPr>
        <w:ilvl w:val="3"/>
        <w:numId w:val="1"/>
      </w:numPr>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b/>
      <w:i/>
      <w:sz w:val="26"/>
    </w:rPr>
  </w:style>
  <w:style w:type="paragraph" w:styleId="Heading6">
    <w:name w:val="heading 6"/>
    <w:basedOn w:val="Normal"/>
    <w:next w:val="Normal"/>
    <w:qFormat/>
    <w:pPr>
      <w:numPr>
        <w:ilvl w:val="5"/>
        <w:numId w:val="1"/>
      </w:numPr>
      <w:spacing w:before="240" w:after="60"/>
      <w:outlineLvl w:val="5"/>
    </w:pPr>
    <w:rPr>
      <w:b/>
      <w:sz w:val="22"/>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sz w:val="16"/>
    </w:rPr>
  </w:style>
  <w:style w:type="character" w:styleId="WW8Num8z0">
    <w:name w:val="WW8Num8z0"/>
    <w:qFormat/>
    <w:rPr>
      <w:rFonts w:ascii="Symbol" w:hAnsi="Symbol" w:cs="Symbol"/>
      <w:sz w:val="16"/>
    </w:rPr>
  </w:style>
  <w:style w:type="character" w:styleId="WW8Num9z0">
    <w:name w:val="WW8Num9z0"/>
    <w:qFormat/>
    <w:rPr>
      <w:rFonts w:ascii="Symbol" w:hAnsi="Symbol" w:cs="Symbol"/>
      <w:sz w:val="16"/>
    </w:rPr>
  </w:style>
  <w:style w:type="character" w:styleId="WW8Num10z0">
    <w:name w:val="WW8Num10z0"/>
    <w:qFormat/>
    <w:rPr>
      <w:rFonts w:ascii="Symbol" w:hAnsi="Symbol" w:cs="Symbol"/>
      <w:sz w:val="16"/>
    </w:rPr>
  </w:style>
  <w:style w:type="character" w:styleId="WW8Num11z0">
    <w:name w:val="WW8Num11z0"/>
    <w:qFormat/>
    <w:rPr>
      <w:rFonts w:ascii="Symbol" w:hAnsi="Symbol" w:cs="Symbol"/>
      <w:sz w:val="16"/>
    </w:rPr>
  </w:style>
  <w:style w:type="character" w:styleId="WW8Num12z0">
    <w:name w:val="WW8Num12z0"/>
    <w:qFormat/>
    <w:rPr>
      <w:rFonts w:ascii="Symbol" w:hAnsi="Symbol" w:cs="Symbol"/>
      <w:sz w:val="16"/>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sz w:val="16"/>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4z0">
    <w:name w:val="WW8Num24z0"/>
    <w:qFormat/>
    <w:rPr>
      <w:rFonts w:ascii="Symbol" w:hAnsi="Symbol" w:cs="Symbol"/>
      <w:sz w:val="16"/>
    </w:rPr>
  </w:style>
  <w:style w:type="character" w:styleId="WW8Num25z0">
    <w:name w:val="WW8Num25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sz w:val="16"/>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sz w:val="16"/>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sz w:val="16"/>
    </w:rPr>
  </w:style>
  <w:style w:type="character" w:styleId="WW8Num37z0">
    <w:name w:val="WW8Num37z0"/>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sz w:val="20"/>
    </w:rPr>
  </w:style>
  <w:style w:type="character" w:styleId="WW8Num49z0">
    <w:name w:val="WW8Num49z0"/>
    <w:qFormat/>
    <w:rPr/>
  </w:style>
  <w:style w:type="character" w:styleId="WW8Num50z0">
    <w:name w:val="WW8Num50z0"/>
    <w:qFormat/>
    <w:rPr>
      <w:rFonts w:ascii="Wingdings" w:hAnsi="Wingdings" w:cs="Wingdings"/>
    </w:rPr>
  </w:style>
  <w:style w:type="character" w:styleId="WW8Num51z0">
    <w:name w:val="WW8Num51z0"/>
    <w:qFormat/>
    <w:rPr>
      <w:rFonts w:ascii="Symbol" w:hAnsi="Symbol" w:cs="Symbol"/>
      <w:sz w:val="20"/>
    </w:rPr>
  </w:style>
  <w:style w:type="character" w:styleId="WW8Num52z0">
    <w:name w:val="WW8Num52z0"/>
    <w:qFormat/>
    <w:rPr>
      <w:rFonts w:ascii="Symbol" w:hAnsi="Symbol" w:cs="Symbol"/>
      <w:sz w:val="16"/>
    </w:rPr>
  </w:style>
  <w:style w:type="character" w:styleId="WW8Num53z0">
    <w:name w:val="WW8Num53z0"/>
    <w:qFormat/>
    <w:rPr>
      <w:rFonts w:ascii="Wingdings" w:hAnsi="Wingdings" w:cs="Wingdings"/>
    </w:rPr>
  </w:style>
  <w:style w:type="character" w:styleId="WW8Num54z0">
    <w:name w:val="WW8Num54z0"/>
    <w:qFormat/>
    <w:rPr>
      <w:rFonts w:ascii="Symbol" w:hAnsi="Symbol" w:cs="Symbol"/>
    </w:rPr>
  </w:style>
  <w:style w:type="character" w:styleId="WW8Num55z0">
    <w:name w:val="WW8Num55z0"/>
    <w:qFormat/>
    <w:rPr>
      <w:rFonts w:ascii="Wingdings" w:hAnsi="Wingdings" w:cs="Wingdings"/>
    </w:rPr>
  </w:style>
  <w:style w:type="character" w:styleId="WW8Num56z0">
    <w:name w:val="WW8Num56z0"/>
    <w:qFormat/>
    <w:rPr>
      <w:rFonts w:ascii="Symbol" w:hAnsi="Symbol" w:cs="Symbol"/>
      <w:sz w:val="16"/>
    </w:rPr>
  </w:style>
  <w:style w:type="character" w:styleId="WW8Num57z0">
    <w:name w:val="WW8Num57z0"/>
    <w:qFormat/>
    <w:rPr>
      <w:rFonts w:ascii="Symbol" w:hAnsi="Symbol" w:cs="Symbol"/>
    </w:rPr>
  </w:style>
  <w:style w:type="character" w:styleId="WW8Num58z0">
    <w:name w:val="WW8Num58z0"/>
    <w:qFormat/>
    <w:rPr>
      <w:rFonts w:ascii="Symbol" w:hAnsi="Symbol" w:cs="Symbol"/>
      <w:sz w:val="16"/>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sz w:val="20"/>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Wingdings" w:hAnsi="Wingdings" w:cs="Wingdings"/>
    </w:rPr>
  </w:style>
  <w:style w:type="character" w:styleId="WW8Num67z0">
    <w:name w:val="WW8Num67z0"/>
    <w:qFormat/>
    <w:rPr>
      <w:rFonts w:ascii="Symbol" w:hAnsi="Symbol" w:cs="Symbol"/>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2z0">
    <w:name w:val="WW8Num72z0"/>
    <w:qFormat/>
    <w:rPr>
      <w:rFonts w:ascii="Symbol" w:hAnsi="Symbol" w:cs="Symbol"/>
    </w:rPr>
  </w:style>
  <w:style w:type="character" w:styleId="WW8Num73z0">
    <w:name w:val="WW8Num73z0"/>
    <w:qFormat/>
    <w:rPr>
      <w:rFonts w:ascii="Wingdings" w:hAnsi="Wingdings" w:cs="Wingdings"/>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sz w:val="16"/>
    </w:rPr>
  </w:style>
  <w:style w:type="character" w:styleId="WW8Num78z0">
    <w:name w:val="WW8Num78z0"/>
    <w:qFormat/>
    <w:rPr>
      <w:rFonts w:ascii="Symbol" w:hAnsi="Symbol" w:cs="Symbol"/>
    </w:rPr>
  </w:style>
  <w:style w:type="character" w:styleId="WW8Num79z0">
    <w:name w:val="WW8Num79z0"/>
    <w:qFormat/>
    <w:rPr>
      <w:rFonts w:ascii="Symbol" w:hAnsi="Symbol" w:cs="Symbol"/>
      <w:sz w:val="16"/>
    </w:rPr>
  </w:style>
  <w:style w:type="character" w:styleId="WW8NumSt54z0">
    <w:name w:val="WW8NumSt54z0"/>
    <w:qFormat/>
    <w:rPr>
      <w:rFonts w:ascii="Symbol" w:hAnsi="Symbol" w:cs="Symbol"/>
    </w:rPr>
  </w:style>
  <w:style w:type="character" w:styleId="WW8NumSt54z1">
    <w:name w:val="WW8NumSt54z1"/>
    <w:qFormat/>
    <w:rPr>
      <w:rFonts w:ascii="Courier New" w:hAnsi="Courier New" w:cs="Courier New"/>
    </w:rPr>
  </w:style>
  <w:style w:type="character" w:styleId="WW8NumSt54z2">
    <w:name w:val="WW8NumSt54z2"/>
    <w:qFormat/>
    <w:rPr>
      <w:rFonts w:ascii="Wingdings" w:hAnsi="Wingdings" w:cs="Wingdings"/>
    </w:rPr>
  </w:style>
  <w:style w:type="character" w:styleId="WW8NumSt81z0">
    <w:name w:val="WW8NumSt8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60" w:after="60"/>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Head">
    <w:name w:val="Table Head"/>
    <w:basedOn w:val="Normal"/>
    <w:next w:val="Normal"/>
    <w:qFormat/>
    <w:pPr>
      <w:pBdr>
        <w:top w:val="single" w:sz="6" w:space="0" w:color="000000"/>
        <w:bottom w:val="single" w:sz="6" w:space="0" w:color="000000"/>
      </w:pBdr>
      <w:tabs>
        <w:tab w:val="clear" w:pos="720"/>
        <w:tab w:val="left" w:pos="1467" w:leader="none"/>
        <w:tab w:val="left" w:pos="2880" w:leader="none"/>
        <w:tab w:val="left" w:pos="4333" w:leader="none"/>
        <w:tab w:val="left" w:pos="5760" w:leader="none"/>
        <w:tab w:val="left" w:pos="7200" w:leader="none"/>
      </w:tabs>
      <w:spacing w:lineRule="exact" w:line="240" w:before="144" w:after="144"/>
    </w:pPr>
    <w:rPr>
      <w:rFonts w:ascii="Arial" w:hAnsi="Arial" w:cs="Arial"/>
      <w:sz w:val="24"/>
    </w:rPr>
  </w:style>
  <w:style w:type="paragraph" w:styleId="TOC1">
    <w:name w:val="toc 1"/>
    <w:basedOn w:val="Normal"/>
    <w:next w:val="Normal"/>
    <w:pPr/>
    <w:rPr>
      <w:b/>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heads">
    <w:name w:val="Subheads"/>
    <w:basedOn w:val="Normal"/>
    <w:next w:val="Normal"/>
    <w:qFormat/>
    <w:pPr>
      <w:spacing w:lineRule="exact" w:line="240" w:before="240" w:after="120"/>
    </w:pPr>
    <w:rPr>
      <w:rFonts w:ascii="Arial" w:hAnsi="Arial" w:cs="Arial"/>
      <w:b/>
      <w:spacing w:val="5"/>
      <w:sz w:val="24"/>
    </w:rPr>
  </w:style>
  <w:style w:type="paragraph" w:styleId="minibullet">
    <w:name w:val="minibullet"/>
    <w:basedOn w:val="Normal"/>
    <w:qFormat/>
    <w:pPr>
      <w:numPr>
        <w:ilvl w:val="0"/>
        <w:numId w:val="2"/>
      </w:numPr>
      <w:tabs>
        <w:tab w:val="clear" w:pos="720"/>
        <w:tab w:val="left" w:pos="150" w:leader="none"/>
      </w:tabs>
      <w:ind w:hanging="150" w:start="150" w:end="0"/>
    </w:pPr>
    <w:rPr>
      <w:rFonts w:ascii="Arial" w:hAnsi="Arial" w:cs="Arial"/>
      <w:color w:val="000000"/>
      <w:sz w:val="16"/>
      <w:lang w:eastAsia="en-US"/>
    </w:rPr>
  </w:style>
  <w:style w:type="paragraph" w:styleId="Body">
    <w:name w:val="Body"/>
    <w:basedOn w:val="Normal"/>
    <w:next w:val="Normal"/>
    <w:qFormat/>
    <w:pPr>
      <w:spacing w:lineRule="exact" w:line="240" w:before="72" w:after="144"/>
    </w:pPr>
    <w:rPr>
      <w:rFonts w:ascii="Sabon" w:hAnsi="Sabon" w:cs="Sabon"/>
      <w:sz w:val="18"/>
    </w:rPr>
  </w:style>
  <w:style w:type="paragraph" w:styleId="BodyText2">
    <w:name w:val="Body Text 2"/>
    <w:basedOn w:val="Normal"/>
    <w:qFormat/>
    <w:pPr>
      <w:jc w:val="center"/>
    </w:pPr>
    <w:rPr>
      <w:sz w:val="22"/>
    </w:rPr>
  </w:style>
  <w:style w:type="paragraph" w:styleId="BodyText3">
    <w:name w:val="Body Text 3"/>
    <w:basedOn w:val="Normal"/>
    <w:qFormat/>
    <w:pPr>
      <w:jc w:val="both"/>
    </w:pPr>
    <w:rPr>
      <w:rFonts w:ascii="New York" w:hAnsi="New York" w:cs="New York"/>
      <w:color w:val="FF0000"/>
      <w:sz w:val="22"/>
    </w:rPr>
  </w:style>
  <w:style w:type="paragraph" w:styleId="Hanging-Indent-B">
    <w:name w:val="Hanging-Indent-B"/>
    <w:basedOn w:val="Normal"/>
    <w:qFormat/>
    <w:pPr>
      <w:spacing w:lineRule="atLeast" w:line="240" w:before="60" w:after="60"/>
      <w:ind w:hanging="360" w:start="1080" w:end="0"/>
      <w:jc w:val="both"/>
    </w:pPr>
    <w:rPr>
      <w:rFonts w:ascii="New York" w:hAnsi="New York" w:cs="New York"/>
      <w:sz w:val="22"/>
    </w:rPr>
  </w:style>
  <w:style w:type="paragraph" w:styleId="tabletext">
    <w:name w:val="table text"/>
    <w:next w:val="Normal"/>
    <w:qFormat/>
    <w:pPr>
      <w:widowControl/>
      <w:bidi w:val="0"/>
      <w:spacing w:lineRule="exact" w:line="220" w:before="80" w:after="0"/>
      <w:ind w:hanging="0" w:start="2420" w:end="0"/>
    </w:pPr>
    <w:rPr>
      <w:rFonts w:ascii="N Helvetica Narrow;Times New Roman" w:hAnsi="N Helvetica Narrow;Times New Roman" w:eastAsia="Times New Roman" w:cs="N Helvetica Narrow;Times New Roman"/>
      <w:color w:val="auto"/>
      <w:sz w:val="20"/>
      <w:szCs w:val="20"/>
      <w:lang w:val="en-US" w:eastAsia="zh-CN" w:bidi="hi-IN"/>
    </w:rPr>
  </w:style>
  <w:style w:type="paragraph" w:styleId="Hanging-Indent-A">
    <w:name w:val="Hanging-Indent-A"/>
    <w:basedOn w:val="Normal"/>
    <w:qFormat/>
    <w:pPr>
      <w:tabs>
        <w:tab w:val="left" w:pos="720" w:leader="none"/>
      </w:tabs>
      <w:spacing w:lineRule="atLeast" w:line="240" w:before="60" w:after="60"/>
      <w:ind w:hanging="360" w:start="720" w:end="0"/>
      <w:jc w:val="both"/>
    </w:pPr>
    <w:rPr>
      <w:rFonts w:ascii="New York" w:hAnsi="New York" w:cs="New York"/>
      <w:sz w:val="22"/>
    </w:rPr>
  </w:style>
  <w:style w:type="paragraph" w:styleId="BodyTextIndent">
    <w:name w:val="Body Text Indent"/>
    <w:basedOn w:val="Normal"/>
    <w:pPr>
      <w:ind w:hanging="0" w:start="360" w:end="0"/>
      <w:jc w:val="both"/>
    </w:pPr>
    <w:rPr>
      <w:sz w:val="22"/>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tabs>
        <w:tab w:val="clear" w:pos="720"/>
        <w:tab w:val="left" w:pos="1440" w:leader="none"/>
      </w:tabs>
      <w:ind w:hanging="0" w:start="720" w:end="0"/>
      <w:jc w:val="both"/>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DocumentMap">
    <w:name w:val="Document Map"/>
    <w:basedOn w:val="Normal"/>
    <w:qFormat/>
    <w:pPr>
      <w:shd w:fill="000080" w:val="clear"/>
    </w:pPr>
    <w:rPr>
      <w:rFonts w:ascii="Tahoma" w:hAnsi="Tahoma" w:cs="Tahoma"/>
    </w:rPr>
  </w:style>
  <w:style w:type="paragraph" w:styleId="BodyTabs">
    <w:name w:val="Body Tabs"/>
    <w:basedOn w:val="Normal"/>
    <w:qFormat/>
    <w:pPr>
      <w:tabs>
        <w:tab w:val="clear" w:pos="720"/>
        <w:tab w:val="left" w:pos="360" w:leader="none"/>
      </w:tabs>
      <w:spacing w:lineRule="exact" w:line="240" w:before="72" w:after="0"/>
      <w:ind w:hanging="341" w:start="341" w:end="0"/>
    </w:pPr>
    <w:rPr>
      <w:rFonts w:ascii="Sabon" w:hAnsi="Sabon" w:cs="Sabon"/>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2000-10-18T19:58:00Z</dcterms:created>
  <dc:creator>Dwight Alford</dc:creator>
  <dc:description/>
  <dc:language>en-CA</dc:language>
  <cp:lastModifiedBy>Exodus</cp:lastModifiedBy>
  <cp:lastPrinted>2000-09-29T06:39:00Z</cp:lastPrinted>
  <dcterms:modified xsi:type="dcterms:W3CDTF">2000-10-18T20:14:00Z</dcterms:modified>
  <cp:revision>5</cp:revision>
  <dc:subject>Statement of Work</dc:subject>
  <dc:title>[CLIENT] SOW</dc:title>
</cp:coreProperties>
</file>