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del w:id="0" w:author="Hank Millner" w:date="2001-04-12T16:23:00Z">
        <w:r>
          <w:rPr>
            <w:rFonts w:cs="Times New Roman" w:ascii="Times New Roman" w:hAnsi="Times New Roman"/>
            <w:sz w:val="22"/>
          </w:rPr>
          <w:delText>_____________, 2000</w:delText>
        </w:r>
      </w:del>
      <w:ins w:id="1" w:author="Hank Millner" w:date="2001-04-12T16:23:00Z">
        <w:r>
          <w:rPr>
            <w:rFonts w:cs="Times New Roman" w:ascii="Times New Roman" w:hAnsi="Times New Roman"/>
            <w:sz w:val="22"/>
          </w:rPr>
          <w:t>April 13, 2001</w:t>
        </w:r>
      </w:ins>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Global Crossing </w:t>
      </w:r>
      <w:ins w:id="2" w:author="Hank Millner" w:date="2001-04-12T16:24:00Z">
        <w:r>
          <w:rPr>
            <w:rFonts w:cs="Times New Roman" w:ascii="Times New Roman" w:hAnsi="Times New Roman"/>
            <w:sz w:val="22"/>
          </w:rPr>
          <w:t>Development Co.</w:t>
        </w:r>
      </w:ins>
      <w:del w:id="3" w:author="Hank Millner" w:date="2001-04-12T16:24:00Z">
        <w:r>
          <w:rPr>
            <w:rFonts w:cs="Times New Roman" w:ascii="Times New Roman" w:hAnsi="Times New Roman"/>
            <w:sz w:val="22"/>
          </w:rPr>
          <w:delText>[ENTITY]</w:delText>
        </w:r>
      </w:del>
    </w:p>
    <w:p>
      <w:pPr>
        <w:pStyle w:val="Normal"/>
        <w:jc w:val="both"/>
        <w:rPr>
          <w:rFonts w:ascii="Times New Roman" w:hAnsi="Times New Roman" w:cs="Times New Roman"/>
          <w:sz w:val="22"/>
        </w:rPr>
      </w:pPr>
      <w:r>
        <w:rPr>
          <w:rFonts w:cs="Times New Roman" w:ascii="Times New Roman" w:hAnsi="Times New Roman"/>
          <w:sz w:val="22"/>
        </w:rPr>
        <w:t>360 North Crescent Drive</w:t>
      </w:r>
    </w:p>
    <w:p>
      <w:pPr>
        <w:pStyle w:val="Normal"/>
        <w:jc w:val="both"/>
        <w:rPr>
          <w:rFonts w:ascii="Times New Roman" w:hAnsi="Times New Roman" w:cs="Times New Roman"/>
          <w:sz w:val="22"/>
        </w:rPr>
      </w:pPr>
      <w:r>
        <w:rPr>
          <w:rFonts w:cs="Times New Roman" w:ascii="Times New Roman" w:hAnsi="Times New Roman"/>
          <w:sz w:val="22"/>
        </w:rPr>
        <w:t>Beverly Hills, California 90210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 xml:space="preserve">Enron Net Works LLC ("Enron") and their affiliates wish to enter into discussions with Global Crossing </w:t>
      </w:r>
      <w:ins w:id="4" w:author="Hank Millner" w:date="2001-04-12T16:28:00Z">
        <w:r>
          <w:rPr/>
          <w:t>Development Co.</w:t>
        </w:r>
      </w:ins>
      <w:del w:id="5" w:author="Hank Millner" w:date="2001-04-12T16:29:00Z">
        <w:r>
          <w:rPr/>
          <w:delText>[ENTITY]</w:delText>
        </w:r>
      </w:del>
      <w:r>
        <w:rPr/>
        <w:t xml:space="preserve"> and its affiliates (“Global Crossing”) to evaluate a potential transaction or business relationship (the “Transaction”).  These discussions may necessitate the disclosure of non-public information concerning the Transaction, and the business and affairs of both Enron and Global Crossing, which the party disclosing the information (the “Disclosing Party”) considers confidential or proprietary, and which the party receiving the information (the “Recipient”) agrees to treat in confidence and to protect in accordance with the terms set forth below (the “Agreement).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Disclosing Party furnishing Recipient such information, Recipient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(2) years from the Effective Date, Recipient shall not disclose the Confidential Information to any person other than those of its directors, officers, employees, auditors and legal counsel (collectively, the "Representatives") who need to know the Confidential Information for the evaluation, negotiation or consummation of the Transaction. Recipient will safeguard the Confidential Information from unauthorized disclosure.  It is understood and agreed that (i) the Representatives shall be informed by Recipient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 in any event, Recipient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Disclosing Party, Recipient will not, and will direct its Representatives not to, disclose to any person either the fact that the Confidential Information has been made available to Recipient, that Recipient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Recipient or its Representatives are requested or required (by oral question, interrogatories, requests for information or documents, subpoena, civil investigative demand or similar process) to disclose any Confidential Information, Recipient will promptly provide the Disclosing Party with written notice of such request or requirement so that the Disclosing Party may seek an appropriate protective order or waiver in compliance with provisions of this Agreement, and Recipient agrees that it will not oppose action by the Disclosing Party to obtain an appropriate protective order or other reliable assurance that confidential treatment will be accorded the Confidential Information.  If, in the absence of a protective order or the receipt of a waiver hereunder, Recipient or its Representatives are compelled to disclose the Confidential Information or else stand liable for contempt or suffer other censure or significant penalty, Recipient may disclose only such of the Confidential Information to the party compelling disclosure as is required by law.   Recipient shall not be liable for the disclosure of Confidential Information pursuant to the preceding sentence unless such disclosure was caused by Recipient or its Representatives and not otherwise permitted by this Agreement.  Recipient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Recipient or its Representatives by the Disclosing Party from the Effective Date through September 30, 2001 that concerns the Disclosing Party, its affiliates or subsidiaries, and that is either confidential, proprietary or otherwise not generally available to the public, including, without limitation, business ideas, methods or processes or proposed transaction structures.  Any information furnished to Recipient or its Representatives by a director, officer, employee, representative, affiliate or an individual director, officer, employee or representative of an affiliate of the Disclosing Party shall be deemed, for the purpose of this Agreement, furnished by the Disclosing Party.  Notwithstanding the foregoing, the following will not constitute Confidential Information for purposes of this Agreement:  (a) information that is or becomes generally available to the public other than as a result of a disclosure by Recipient or its Representatives, or (b) information provided from a person other than the Disclosing Party that was already received by, or is subsequently received by Recipient.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Upon request of the Disclosing Party, Recipient shall immediately (a)(i) return all copies of the Confidential Information received by it to the Disclosing Party; or (ii) at Disclosing Party’s option, destroy all such copies; and (b) as appropriate, certify such return or such destruction in writing to the Disclosing Party. That portion of the Confidential Information that is oral and written, including, but not limited to, Confidential Information found in analyses, compilations, studies or other documents prepared by or for a party, not so requested or returned will be held by Recipient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Recipient understands that the Disclosing Party will endeavor to include in the information it furnishes Recipient materials that it believes to be reliable and relevant for the purpose of its evaluation, but Recipient acknowledges that the Disclosing Party does not make any representation or warranty as to the accuracy or completeness of any information that is so provided, and neither the Disclosing Party nor any of its Representative shall have any liability to Recipient or its Representatives resulting from the use of such information by Recipient or its Representatives.  For the purposes of this Section 6, "information" is deemed to include all information furnished by the Disclosing Party to Recipient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Enron and Global Crossing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and Governing Law</w:t>
      </w:r>
      <w:r>
        <w:rPr>
          <w:rFonts w:cs="Times New Roman" w:ascii="Times New Roman" w:hAnsi="Times New Roman"/>
          <w:sz w:val="22"/>
        </w:rPr>
        <w:t xml:space="preserve">. Disclosure by Recipient or its Representatives of the Confidential Information in violation of this Agreement would constitute a breach of this Agreement resulting in substantial damages to the Disclosing Party for which the Disclosing Party would be entitled to seek money damages to the fullest extent of the law.  Notwithstanding the foregoing, money damages may not be a sufficient remedy for any breach of this Agreement by Recipient or its Representatives, and the Disclosing Party shall be entitled to specific performance and injunctive relief as remedies upon proof of any such breach.  Such remedies shall not be deemed to be the exclusive remedies for a breach of this Agreement by Recipient or any of its Representatives but shall be in addition to all other remedies available at law or in equity to the Disclosing Party.  The Agreement shall be governed in all respects by the laws of the State of New York, without giving effect to its choice of law principles. Enron and Global Crossing hereby consent to the exclusive jurisdiction of a competent court in the State of New York for all disputes arising under this Agreement. </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Arbitration</w:t>
      </w:r>
      <w:r>
        <w:rPr>
          <w:rFonts w:cs="Times New Roman" w:ascii="Times New Roman" w:hAnsi="Times New Roman"/>
          <w:sz w:val="22"/>
        </w:rPr>
        <w:t>.  Excepting the right of a party to seek injunctive relief provided for in Section 9,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ind w:firstLine="720" w:start="432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GLOBAL CROSSING </w:t>
      </w:r>
      <w:ins w:id="6" w:author="Hank Millner" w:date="2001-04-12T16:29:00Z">
        <w:r>
          <w:rPr>
            <w:rFonts w:cs="Times New Roman" w:ascii="Times New Roman" w:hAnsi="Times New Roman"/>
            <w:sz w:val="22"/>
          </w:rPr>
          <w:t>DEVELOPMENT CO.</w:t>
        </w:r>
      </w:ins>
      <w:del w:id="7" w:author="Hank Millner" w:date="2001-04-12T16:29:00Z">
        <w:r>
          <w:rPr>
            <w:rFonts w:cs="Times New Roman" w:ascii="Times New Roman" w:hAnsi="Times New Roman"/>
            <w:sz w:val="22"/>
          </w:rPr>
          <w:delText>[ENTITY]</w:delText>
        </w:r>
      </w:del>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/mnt/main-storage/datasets/enron-docs/doc/Enron_Global_Crossing_NDA.doc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 Crossing, Ltd.</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DRAFT 4-11-01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2001-04-12T21:00:00Z</dcterms:created>
  <dc:creator>ECT</dc:creator>
  <dc:description/>
  <dc:language>en-CA</dc:language>
  <cp:lastModifiedBy>Hank Millner</cp:lastModifiedBy>
  <cp:lastPrinted>2001-04-11T13:19:00Z</cp:lastPrinted>
  <dcterms:modified xsi:type="dcterms:W3CDTF">2001-04-12T21:00:00Z</dcterms:modified>
  <cp:revision>2</cp:revision>
  <dc:subject/>
  <dc:title>Long Form Confidentiality Agreement</dc:title>
</cp:coreProperties>
</file>