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ind w:firstLine="720" w:end="0"/>
        <w:rPr>
          <w:b/>
          <w:bCs/>
          <w:color w:val="000000"/>
          <w:sz w:val="20"/>
          <w:szCs w:val="20"/>
        </w:rPr>
      </w:pPr>
      <w:r>
        <w:rPr>
          <w:b/>
          <w:bCs/>
          <w:color w:val="000000"/>
          <w:sz w:val="20"/>
          <w:szCs w:val="20"/>
        </w:rPr>
        <w:t>Necessary Legislative Proposals Designed to Solve California’s Electricity Crisis</w:t>
      </w:r>
    </w:p>
    <w:p>
      <w:pPr>
        <w:pStyle w:val="Normal"/>
        <w:autoSpaceDE w:val="false"/>
        <w:spacing w:lineRule="atLeast" w:line="240"/>
        <w:rPr>
          <w:b/>
          <w:bCs/>
          <w:color w:val="000000"/>
          <w:sz w:val="20"/>
          <w:szCs w:val="20"/>
        </w:rPr>
      </w:pPr>
      <w:r>
        <w:rPr>
          <w:b/>
          <w:bCs/>
          <w:color w:val="000000"/>
          <w:sz w:val="20"/>
          <w:szCs w:val="20"/>
        </w:rPr>
      </w:r>
    </w:p>
    <w:p>
      <w:pPr>
        <w:pStyle w:val="Normal"/>
        <w:autoSpaceDE w:val="false"/>
        <w:spacing w:lineRule="atLeast" w:line="240"/>
        <w:rPr>
          <w:color w:val="000000"/>
          <w:sz w:val="20"/>
          <w:szCs w:val="20"/>
        </w:rPr>
      </w:pPr>
      <w:r>
        <w:rPr>
          <w:color w:val="000000"/>
          <w:sz w:val="20"/>
          <w:szCs w:val="20"/>
        </w:rPr>
        <w:t>As we have suggested throughout the crisis, any solution to California's crisis must focus on four issues:</w:t>
      </w:r>
    </w:p>
    <w:p>
      <w:pPr>
        <w:pStyle w:val="Normal"/>
        <w:autoSpaceDE w:val="false"/>
        <w:spacing w:lineRule="atLeast" w:line="240"/>
        <w:ind w:hanging="1440" w:start="1440" w:end="0"/>
        <w:rPr>
          <w:color w:val="000000"/>
          <w:sz w:val="20"/>
          <w:szCs w:val="20"/>
        </w:rPr>
      </w:pPr>
      <w:r>
        <w:rPr>
          <w:color w:val="000000"/>
          <w:sz w:val="20"/>
          <w:szCs w:val="20"/>
        </w:rPr>
      </w:r>
    </w:p>
    <w:p>
      <w:pPr>
        <w:pStyle w:val="Normal"/>
        <w:autoSpaceDE w:val="false"/>
        <w:spacing w:lineRule="atLeast" w:line="240"/>
        <w:ind w:start="360" w:end="0"/>
        <w:rPr>
          <w:b/>
          <w:bCs/>
          <w:color w:val="000000"/>
          <w:sz w:val="20"/>
          <w:szCs w:val="20"/>
        </w:rPr>
      </w:pPr>
      <w:r>
        <w:rPr>
          <w:b/>
          <w:bCs/>
          <w:color w:val="000000"/>
          <w:sz w:val="20"/>
          <w:szCs w:val="20"/>
        </w:rPr>
        <w:t>Increase supply</w:t>
      </w:r>
    </w:p>
    <w:p>
      <w:pPr>
        <w:pStyle w:val="Normal"/>
        <w:autoSpaceDE w:val="false"/>
        <w:spacing w:lineRule="atLeast" w:line="240"/>
        <w:ind w:start="360" w:end="0"/>
        <w:rPr>
          <w:b/>
          <w:bCs/>
          <w:color w:val="000000"/>
          <w:sz w:val="20"/>
          <w:szCs w:val="20"/>
        </w:rPr>
      </w:pPr>
      <w:r>
        <w:rPr>
          <w:b/>
          <w:bCs/>
          <w:color w:val="000000"/>
          <w:sz w:val="20"/>
          <w:szCs w:val="20"/>
        </w:rPr>
        <w:t>Decrease demand</w:t>
      </w:r>
    </w:p>
    <w:p>
      <w:pPr>
        <w:pStyle w:val="Normal"/>
        <w:autoSpaceDE w:val="false"/>
        <w:spacing w:lineRule="atLeast" w:line="240"/>
        <w:ind w:start="360" w:end="0"/>
        <w:rPr>
          <w:b/>
          <w:bCs/>
          <w:color w:val="000000"/>
          <w:sz w:val="20"/>
          <w:szCs w:val="20"/>
        </w:rPr>
      </w:pPr>
      <w:r>
        <w:rPr>
          <w:b/>
          <w:bCs/>
          <w:color w:val="000000"/>
          <w:sz w:val="20"/>
          <w:szCs w:val="20"/>
        </w:rPr>
        <w:t>Establish a truly competitive retail electricity market</w:t>
      </w:r>
    </w:p>
    <w:p>
      <w:pPr>
        <w:pStyle w:val="Normal"/>
        <w:autoSpaceDE w:val="false"/>
        <w:spacing w:lineRule="atLeast" w:line="240"/>
        <w:ind w:start="360" w:end="0"/>
        <w:rPr>
          <w:b/>
          <w:bCs/>
          <w:color w:val="000000"/>
          <w:sz w:val="20"/>
          <w:szCs w:val="20"/>
        </w:rPr>
      </w:pPr>
      <w:r>
        <w:rPr>
          <w:b/>
          <w:bCs/>
          <w:color w:val="000000"/>
          <w:sz w:val="20"/>
          <w:szCs w:val="20"/>
        </w:rPr>
        <w:t>Return California’s Investor-owned utilities to solvency</w:t>
      </w:r>
    </w:p>
    <w:p>
      <w:pPr>
        <w:pStyle w:val="Normal"/>
        <w:autoSpaceDE w:val="false"/>
        <w:spacing w:lineRule="atLeast" w:line="240"/>
        <w:ind w:hanging="1440" w:start="1440" w:end="0"/>
        <w:rPr>
          <w:b/>
          <w:bCs/>
          <w:color w:val="000000"/>
          <w:sz w:val="20"/>
          <w:szCs w:val="20"/>
        </w:rPr>
      </w:pPr>
      <w:r>
        <w:rPr>
          <w:b/>
          <w:bCs/>
          <w:color w:val="000000"/>
          <w:sz w:val="20"/>
          <w:szCs w:val="20"/>
        </w:rPr>
      </w:r>
    </w:p>
    <w:p>
      <w:pPr>
        <w:pStyle w:val="Normal"/>
        <w:autoSpaceDE w:val="false"/>
        <w:spacing w:lineRule="atLeast" w:line="240"/>
        <w:ind w:hanging="1440" w:start="1440" w:end="0"/>
        <w:rPr>
          <w:b/>
          <w:bCs/>
          <w:color w:val="000000"/>
          <w:sz w:val="20"/>
          <w:szCs w:val="20"/>
        </w:rPr>
      </w:pPr>
      <w:r>
        <w:rPr>
          <w:b/>
          <w:bCs/>
          <w:color w:val="000000"/>
          <w:sz w:val="20"/>
          <w:szCs w:val="20"/>
        </w:rPr>
        <w:t xml:space="preserve">Increase supply </w:t>
        <w:tab/>
        <w:tab/>
        <w:tab/>
        <w:t>SB28X</w:t>
      </w:r>
    </w:p>
    <w:p>
      <w:pPr>
        <w:pStyle w:val="Normal"/>
        <w:autoSpaceDE w:val="false"/>
        <w:spacing w:lineRule="atLeast" w:line="240"/>
        <w:ind w:hanging="1440" w:start="1440" w:end="0"/>
        <w:rPr>
          <w:b/>
          <w:bCs/>
          <w:color w:val="000000"/>
          <w:sz w:val="20"/>
          <w:szCs w:val="20"/>
        </w:rPr>
      </w:pPr>
      <w:r>
        <w:rPr>
          <w:b/>
          <w:bCs/>
          <w:color w:val="000000"/>
          <w:sz w:val="20"/>
          <w:szCs w:val="20"/>
        </w:rPr>
      </w:r>
    </w:p>
    <w:p>
      <w:pPr>
        <w:pStyle w:val="Normal"/>
        <w:autoSpaceDE w:val="false"/>
        <w:spacing w:lineRule="atLeast" w:line="240"/>
        <w:rPr>
          <w:color w:val="000000"/>
          <w:sz w:val="20"/>
          <w:szCs w:val="20"/>
        </w:rPr>
      </w:pPr>
      <w:r>
        <w:rPr>
          <w:color w:val="000000"/>
          <w:sz w:val="20"/>
          <w:szCs w:val="20"/>
        </w:rPr>
        <w:t>To site and construct a power plant in Texas takes approximately 2 years.  Enron and others have completed the entire process in other states in less than a year.  In California, it takes about six years, or longer.</w:t>
      </w:r>
    </w:p>
    <w:p>
      <w:pPr>
        <w:pStyle w:val="Normal"/>
        <w:autoSpaceDE w:val="false"/>
        <w:spacing w:lineRule="atLeast" w:line="240"/>
        <w:rPr>
          <w:color w:val="000000"/>
          <w:sz w:val="20"/>
          <w:szCs w:val="20"/>
        </w:rPr>
      </w:pPr>
      <w:r>
        <w:rPr>
          <w:color w:val="000000"/>
          <w:sz w:val="20"/>
          <w:szCs w:val="20"/>
        </w:rPr>
      </w:r>
    </w:p>
    <w:p>
      <w:pPr>
        <w:pStyle w:val="Normal"/>
        <w:autoSpaceDE w:val="false"/>
        <w:spacing w:lineRule="atLeast" w:line="240"/>
        <w:rPr>
          <w:color w:val="000000"/>
          <w:sz w:val="20"/>
          <w:szCs w:val="20"/>
        </w:rPr>
      </w:pPr>
      <w:r>
        <w:rPr>
          <w:color w:val="000000"/>
          <w:sz w:val="20"/>
          <w:szCs w:val="20"/>
        </w:rPr>
        <w:t>The Governor’s executive orders and Senator Sher’s siting reform legislation are steps in the right direction.  Our suggested amendments can improve those efforts by further addressing the difficulties that project developers face in securing air emission reduction credits to meet the air permit requirements included in the CEC's certification requirements.  Enron’s proposal seeks to streamline the process for 1) obtaining credits and 2) transfering credits between air districts.  In addition, it creates an innovative emissions reduction bank to allow project sponsors to fund emissions in advance of obtaining certification, and permits the affected air districts to use those funds to finance projects that will produce the required reductions in pollution emissions.</w:t>
      </w:r>
    </w:p>
    <w:p>
      <w:pPr>
        <w:pStyle w:val="Normal"/>
        <w:autoSpaceDE w:val="false"/>
        <w:spacing w:lineRule="atLeast" w:line="240"/>
        <w:rPr>
          <w:color w:val="000000"/>
          <w:sz w:val="20"/>
          <w:szCs w:val="20"/>
        </w:rPr>
      </w:pPr>
      <w:r>
        <w:rPr>
          <w:color w:val="000000"/>
          <w:sz w:val="20"/>
          <w:szCs w:val="20"/>
        </w:rPr>
      </w:r>
    </w:p>
    <w:p>
      <w:pPr>
        <w:pStyle w:val="Normal"/>
        <w:autoSpaceDE w:val="false"/>
        <w:spacing w:lineRule="atLeast" w:line="240"/>
        <w:rPr>
          <w:b/>
          <w:bCs/>
          <w:color w:val="000000"/>
          <w:sz w:val="20"/>
          <w:szCs w:val="20"/>
        </w:rPr>
      </w:pPr>
      <w:r>
        <w:rPr>
          <w:b/>
          <w:bCs/>
          <w:color w:val="000000"/>
          <w:sz w:val="20"/>
          <w:szCs w:val="20"/>
        </w:rPr>
        <w:t>Decrease demand</w:t>
        <w:tab/>
        <w:tab/>
        <w:t>AB31X</w:t>
      </w:r>
    </w:p>
    <w:p>
      <w:pPr>
        <w:pStyle w:val="Normal"/>
        <w:autoSpaceDE w:val="false"/>
        <w:spacing w:lineRule="atLeast" w:line="240"/>
        <w:rPr>
          <w:b/>
          <w:bCs/>
          <w:color w:val="000000"/>
          <w:sz w:val="20"/>
          <w:szCs w:val="20"/>
        </w:rPr>
      </w:pPr>
      <w:r>
        <w:rPr>
          <w:b/>
          <w:bCs/>
          <w:color w:val="000000"/>
          <w:sz w:val="20"/>
          <w:szCs w:val="20"/>
        </w:rPr>
      </w:r>
    </w:p>
    <w:p>
      <w:pPr>
        <w:pStyle w:val="Normal"/>
        <w:autoSpaceDE w:val="false"/>
        <w:spacing w:lineRule="atLeast" w:line="240"/>
        <w:rPr>
          <w:color w:val="000000"/>
          <w:sz w:val="20"/>
          <w:szCs w:val="20"/>
        </w:rPr>
      </w:pPr>
      <w:r>
        <w:rPr>
          <w:color w:val="000000"/>
          <w:sz w:val="20"/>
          <w:szCs w:val="20"/>
        </w:rPr>
        <w:t>Because of the delay in getting a solution in place in California, closing the supply-demand gap through energy conservation and efficiency offers the best chance of avoiding blackouts this summer.  This can be accomplished most effectively and quickly in two ways:</w:t>
      </w:r>
    </w:p>
    <w:p>
      <w:pPr>
        <w:pStyle w:val="Normal"/>
        <w:autoSpaceDE w:val="false"/>
        <w:spacing w:lineRule="atLeast" w:line="240"/>
        <w:rPr>
          <w:color w:val="000000"/>
          <w:sz w:val="20"/>
          <w:szCs w:val="20"/>
        </w:rPr>
      </w:pPr>
      <w:r>
        <w:rPr>
          <w:color w:val="000000"/>
          <w:sz w:val="20"/>
          <w:szCs w:val="20"/>
        </w:rPr>
      </w:r>
    </w:p>
    <w:p>
      <w:pPr>
        <w:pStyle w:val="Normal"/>
        <w:autoSpaceDE w:val="false"/>
        <w:spacing w:lineRule="atLeast" w:line="240"/>
        <w:ind w:start="360" w:end="0"/>
        <w:rPr>
          <w:b/>
          <w:bCs/>
          <w:color w:val="000000"/>
          <w:sz w:val="20"/>
          <w:szCs w:val="20"/>
        </w:rPr>
      </w:pPr>
      <w:r>
        <w:rPr>
          <w:b/>
          <w:bCs/>
          <w:color w:val="000000"/>
          <w:sz w:val="20"/>
          <w:szCs w:val="20"/>
        </w:rPr>
        <w:t>Buy-down demand</w:t>
      </w:r>
    </w:p>
    <w:p>
      <w:pPr>
        <w:pStyle w:val="Normal"/>
        <w:autoSpaceDE w:val="false"/>
        <w:spacing w:lineRule="atLeast" w:line="240"/>
        <w:rPr>
          <w:color w:val="000000"/>
          <w:sz w:val="20"/>
          <w:szCs w:val="20"/>
        </w:rPr>
      </w:pPr>
      <w:r>
        <w:rPr>
          <w:color w:val="000000"/>
          <w:sz w:val="20"/>
          <w:szCs w:val="20"/>
        </w:rPr>
        <w:t>California is tapping into an enormous amount of money from the General Fund to finance DWR’s power purchases.  California could likely reduce demand more economically by running an auction to determine the payments businesses would be willing to receive to reduce their demand for a sustained period (e.g., through the summer months).  DWR could easily run an on-line auction to determine the price it could pay for these demand reductions.  To participate, businesses would be required to have the metering equipment necessary to monitor and verify that they are actually achieving the reductions.  Enron has developed an on-line auction software package, “Deal Bench,” that it would be willing to contribute to the effort.</w:t>
      </w:r>
    </w:p>
    <w:p>
      <w:pPr>
        <w:pStyle w:val="Normal"/>
        <w:autoSpaceDE w:val="false"/>
        <w:spacing w:lineRule="atLeast" w:line="240"/>
        <w:rPr>
          <w:color w:val="000000"/>
          <w:sz w:val="20"/>
          <w:szCs w:val="20"/>
        </w:rPr>
      </w:pPr>
      <w:r>
        <w:rPr>
          <w:color w:val="000000"/>
          <w:sz w:val="20"/>
          <w:szCs w:val="20"/>
        </w:rPr>
      </w:r>
    </w:p>
    <w:p>
      <w:pPr>
        <w:pStyle w:val="Normal"/>
        <w:autoSpaceDE w:val="false"/>
        <w:spacing w:lineRule="atLeast" w:line="240"/>
        <w:ind w:start="360" w:end="0"/>
        <w:rPr>
          <w:b/>
          <w:bCs/>
          <w:color w:val="000000"/>
          <w:sz w:val="20"/>
          <w:szCs w:val="20"/>
        </w:rPr>
      </w:pPr>
      <w:r>
        <w:rPr>
          <w:b/>
          <w:bCs/>
          <w:color w:val="000000"/>
          <w:sz w:val="20"/>
          <w:szCs w:val="20"/>
        </w:rPr>
        <w:t>Use Price Signals to Incent Voluntary Curtailment</w:t>
      </w:r>
    </w:p>
    <w:p>
      <w:pPr>
        <w:pStyle w:val="Normal"/>
        <w:autoSpaceDE w:val="false"/>
        <w:spacing w:lineRule="atLeast" w:line="240"/>
        <w:rPr>
          <w:color w:val="000000"/>
          <w:sz w:val="20"/>
          <w:szCs w:val="20"/>
        </w:rPr>
      </w:pPr>
      <w:r>
        <w:rPr>
          <w:color w:val="000000"/>
          <w:sz w:val="20"/>
          <w:szCs w:val="20"/>
        </w:rPr>
        <w:t>To be successful, customers need access to the following key elements:</w:t>
      </w:r>
    </w:p>
    <w:p>
      <w:pPr>
        <w:pStyle w:val="Normal"/>
        <w:autoSpaceDE w:val="false"/>
        <w:spacing w:lineRule="atLeast" w:line="240"/>
        <w:rPr>
          <w:color w:val="000000"/>
          <w:sz w:val="20"/>
          <w:szCs w:val="20"/>
        </w:rPr>
      </w:pPr>
      <w:r>
        <w:rPr>
          <w:color w:val="000000"/>
          <w:sz w:val="20"/>
          <w:szCs w:val="20"/>
        </w:rPr>
      </w:r>
    </w:p>
    <w:p>
      <w:pPr>
        <w:pStyle w:val="Normal"/>
        <w:numPr>
          <w:ilvl w:val="0"/>
          <w:numId w:val="1"/>
        </w:numPr>
        <w:tabs>
          <w:tab w:val="clear" w:pos="720"/>
          <w:tab w:val="left" w:pos="1080" w:leader="none"/>
        </w:tabs>
        <w:autoSpaceDE w:val="false"/>
        <w:spacing w:lineRule="atLeast" w:line="240"/>
        <w:rPr>
          <w:color w:val="000000"/>
          <w:sz w:val="20"/>
          <w:szCs w:val="20"/>
        </w:rPr>
      </w:pPr>
      <w:r>
        <w:rPr>
          <w:color w:val="000000"/>
          <w:sz w:val="20"/>
          <w:szCs w:val="20"/>
        </w:rPr>
        <w:t xml:space="preserve">An internet based hour-ahead price posting system to track the market price for hour-ahead power in real time. </w:t>
      </w:r>
    </w:p>
    <w:p>
      <w:pPr>
        <w:pStyle w:val="Normal"/>
        <w:numPr>
          <w:ilvl w:val="0"/>
          <w:numId w:val="1"/>
        </w:numPr>
        <w:tabs>
          <w:tab w:val="clear" w:pos="720"/>
          <w:tab w:val="left" w:pos="1080" w:leader="none"/>
        </w:tabs>
        <w:autoSpaceDE w:val="false"/>
        <w:spacing w:lineRule="atLeast" w:line="240"/>
        <w:rPr>
          <w:color w:val="000000"/>
          <w:sz w:val="20"/>
          <w:szCs w:val="20"/>
        </w:rPr>
      </w:pPr>
      <w:r>
        <w:rPr>
          <w:color w:val="000000"/>
          <w:sz w:val="20"/>
          <w:szCs w:val="20"/>
        </w:rPr>
        <w:t>Real-time metering systems for baseline demand and voluntarily curtailment verification.</w:t>
      </w:r>
    </w:p>
    <w:p>
      <w:pPr>
        <w:pStyle w:val="Normal"/>
        <w:numPr>
          <w:ilvl w:val="0"/>
          <w:numId w:val="1"/>
        </w:numPr>
        <w:tabs>
          <w:tab w:val="clear" w:pos="720"/>
          <w:tab w:val="left" w:pos="1080" w:leader="none"/>
        </w:tabs>
        <w:autoSpaceDE w:val="false"/>
        <w:spacing w:lineRule="atLeast" w:line="240"/>
        <w:rPr>
          <w:color w:val="000000"/>
          <w:sz w:val="20"/>
          <w:szCs w:val="20"/>
        </w:rPr>
      </w:pPr>
      <w:r>
        <w:rPr>
          <w:color w:val="000000"/>
          <w:sz w:val="20"/>
          <w:szCs w:val="20"/>
        </w:rPr>
        <w:t>Settlement process that allows for market clearing prices of energy to be paid for load reduction (“Negawatts”).</w:t>
      </w:r>
    </w:p>
    <w:p>
      <w:pPr>
        <w:pStyle w:val="Normal"/>
        <w:tabs>
          <w:tab w:val="clear" w:pos="720"/>
          <w:tab w:val="left" w:pos="1080" w:leader="none"/>
        </w:tabs>
        <w:autoSpaceDE w:val="false"/>
        <w:spacing w:lineRule="atLeast" w:line="240"/>
        <w:rPr>
          <w:color w:val="000000"/>
          <w:sz w:val="20"/>
          <w:szCs w:val="20"/>
        </w:rPr>
      </w:pPr>
      <w:r>
        <w:rPr>
          <w:color w:val="000000"/>
          <w:sz w:val="20"/>
          <w:szCs w:val="20"/>
        </w:rPr>
      </w:r>
    </w:p>
    <w:p>
      <w:pPr>
        <w:pStyle w:val="Normal"/>
        <w:keepNext w:val="true"/>
        <w:autoSpaceDE w:val="false"/>
        <w:spacing w:lineRule="atLeast" w:line="240"/>
        <w:rPr>
          <w:color w:val="000000"/>
          <w:sz w:val="20"/>
          <w:szCs w:val="20"/>
        </w:rPr>
      </w:pPr>
      <w:r>
        <w:rPr>
          <w:color w:val="000000"/>
          <w:sz w:val="20"/>
          <w:szCs w:val="20"/>
        </w:rPr>
        <w:t>The potential benefits of an effective demand response program would include:</w:t>
      </w:r>
    </w:p>
    <w:p>
      <w:pPr>
        <w:pStyle w:val="Normal"/>
        <w:keepNext w:val="true"/>
        <w:autoSpaceDE w:val="false"/>
        <w:spacing w:lineRule="atLeast" w:line="240"/>
        <w:rPr>
          <w:color w:val="000000"/>
          <w:sz w:val="20"/>
          <w:szCs w:val="20"/>
        </w:rPr>
      </w:pPr>
      <w:r>
        <w:rPr>
          <w:color w:val="000000"/>
          <w:sz w:val="20"/>
          <w:szCs w:val="20"/>
        </w:rPr>
      </w:r>
    </w:p>
    <w:p>
      <w:pPr>
        <w:pStyle w:val="Normal"/>
        <w:keepNext w:val="true"/>
        <w:numPr>
          <w:ilvl w:val="0"/>
          <w:numId w:val="2"/>
        </w:numPr>
        <w:autoSpaceDE w:val="false"/>
        <w:spacing w:lineRule="atLeast" w:line="240"/>
        <w:rPr>
          <w:color w:val="000000"/>
          <w:sz w:val="20"/>
          <w:szCs w:val="20"/>
        </w:rPr>
      </w:pPr>
      <w:r>
        <w:rPr>
          <w:color w:val="000000"/>
          <w:sz w:val="20"/>
          <w:szCs w:val="20"/>
        </w:rPr>
        <w:t>“</w:t>
      </w:r>
      <w:r>
        <w:rPr>
          <w:color w:val="000000"/>
          <w:sz w:val="20"/>
          <w:szCs w:val="20"/>
        </w:rPr>
        <w:t>creation” of additional summer peaking capacity in California, particularly in the short term, without requiring construction of additional generation resources.</w:t>
      </w:r>
    </w:p>
    <w:p>
      <w:pPr>
        <w:pStyle w:val="Normal"/>
        <w:numPr>
          <w:ilvl w:val="0"/>
          <w:numId w:val="2"/>
        </w:numPr>
        <w:autoSpaceDE w:val="false"/>
        <w:spacing w:lineRule="atLeast" w:line="240"/>
        <w:rPr>
          <w:color w:val="000000"/>
          <w:sz w:val="20"/>
          <w:szCs w:val="20"/>
        </w:rPr>
      </w:pPr>
      <w:r>
        <w:rPr>
          <w:color w:val="000000"/>
          <w:sz w:val="20"/>
          <w:szCs w:val="20"/>
        </w:rPr>
        <w:t>reduction of  peak or super-peak load on the over-stressed California electric system, thus potentially reducing the overall cost of electricity in the state.</w:t>
      </w:r>
    </w:p>
    <w:p>
      <w:pPr>
        <w:pStyle w:val="Normal"/>
        <w:numPr>
          <w:ilvl w:val="0"/>
          <w:numId w:val="2"/>
        </w:numPr>
        <w:autoSpaceDE w:val="false"/>
        <w:spacing w:lineRule="atLeast" w:line="240"/>
        <w:rPr>
          <w:color w:val="000000"/>
          <w:sz w:val="20"/>
          <w:szCs w:val="20"/>
        </w:rPr>
      </w:pPr>
      <w:r>
        <w:rPr>
          <w:color w:val="000000"/>
          <w:sz w:val="20"/>
          <w:szCs w:val="20"/>
        </w:rPr>
        <w:t xml:space="preserve">fostering of demand elasticity without subjecting customers to the full risk of hourly market price volatility by passing market price signals to customers and allowing them to voluntarily shed load and be compensated for responding. </w:t>
      </w:r>
    </w:p>
    <w:p>
      <w:pPr>
        <w:pStyle w:val="Normal"/>
        <w:autoSpaceDE w:val="false"/>
        <w:spacing w:lineRule="atLeast" w:line="240"/>
        <w:rPr>
          <w:color w:val="000000"/>
          <w:sz w:val="20"/>
          <w:szCs w:val="20"/>
        </w:rPr>
      </w:pPr>
      <w:r>
        <w:rPr>
          <w:color w:val="000000"/>
          <w:sz w:val="20"/>
          <w:szCs w:val="20"/>
        </w:rPr>
      </w:r>
    </w:p>
    <w:p>
      <w:pPr>
        <w:pStyle w:val="Normal"/>
        <w:autoSpaceDE w:val="false"/>
        <w:spacing w:lineRule="atLeast" w:line="240"/>
        <w:rPr>
          <w:color w:val="000000"/>
          <w:sz w:val="20"/>
          <w:szCs w:val="20"/>
        </w:rPr>
      </w:pPr>
      <w:r>
        <w:rPr>
          <w:color w:val="000000"/>
          <w:sz w:val="20"/>
          <w:szCs w:val="20"/>
        </w:rPr>
        <w:t>We estimate that we could generate a summer 2001 on-peak demand response in excess of 400 MW during certain high cost hours, and a demand response for summer 2002 on-peak hours that could exceed 1000 MW.  We further estimate that the market response to this program from all ESPs could be 2 to 3 times that amount.  We recommend that the State of California provide rebates directly to customers to fund the installation of advanced metering and control systems that would support load curtailment implementation.</w:t>
      </w:r>
    </w:p>
    <w:p>
      <w:pPr>
        <w:pStyle w:val="Normal"/>
        <w:autoSpaceDE w:val="false"/>
        <w:spacing w:lineRule="atLeast" w:line="240"/>
        <w:ind w:hanging="1440" w:start="1440" w:end="0"/>
        <w:rPr>
          <w:color w:val="000000"/>
          <w:sz w:val="20"/>
          <w:szCs w:val="20"/>
        </w:rPr>
      </w:pPr>
      <w:r>
        <w:rPr>
          <w:color w:val="000000"/>
          <w:sz w:val="20"/>
          <w:szCs w:val="20"/>
        </w:rPr>
      </w:r>
    </w:p>
    <w:p>
      <w:pPr>
        <w:pStyle w:val="Normal"/>
        <w:autoSpaceDE w:val="false"/>
        <w:spacing w:lineRule="atLeast" w:line="240"/>
        <w:ind w:hanging="1440" w:start="1440" w:end="0"/>
        <w:rPr>
          <w:b/>
          <w:bCs/>
          <w:color w:val="000000"/>
          <w:sz w:val="20"/>
          <w:szCs w:val="20"/>
        </w:rPr>
      </w:pPr>
      <w:r>
        <w:rPr>
          <w:b/>
          <w:bCs/>
          <w:color w:val="000000"/>
          <w:sz w:val="20"/>
          <w:szCs w:val="20"/>
        </w:rPr>
        <w:t>Establish a truly competitive retail electricity market</w:t>
        <w:tab/>
        <w:t>SB27X</w:t>
      </w:r>
    </w:p>
    <w:p>
      <w:pPr>
        <w:pStyle w:val="Normal"/>
        <w:autoSpaceDE w:val="false"/>
        <w:spacing w:lineRule="atLeast" w:line="240"/>
        <w:ind w:hanging="1440" w:start="1440" w:end="0"/>
        <w:rPr>
          <w:b/>
          <w:bCs/>
          <w:color w:val="000000"/>
          <w:sz w:val="20"/>
          <w:szCs w:val="20"/>
        </w:rPr>
      </w:pPr>
      <w:r>
        <w:rPr>
          <w:b/>
          <w:bCs/>
          <w:color w:val="000000"/>
          <w:sz w:val="20"/>
          <w:szCs w:val="20"/>
        </w:rPr>
      </w:r>
    </w:p>
    <w:p>
      <w:pPr>
        <w:pStyle w:val="Normal"/>
        <w:autoSpaceDE w:val="false"/>
        <w:spacing w:lineRule="atLeast" w:line="240"/>
        <w:rPr>
          <w:color w:val="000000"/>
          <w:sz w:val="20"/>
          <w:szCs w:val="20"/>
        </w:rPr>
      </w:pPr>
      <w:r>
        <w:rPr>
          <w:color w:val="000000"/>
          <w:sz w:val="20"/>
          <w:szCs w:val="20"/>
        </w:rPr>
        <w:t>The only customers who were protected from price volatility in San Diego were customers who chose Direct Access and signed fixed price deals with energy service providers.  Ironically, AB1X takes that important option away from customers and businesses.  It is critical that AB1X be amended to remove the prohibition against Direct Access.</w:t>
      </w:r>
    </w:p>
    <w:p>
      <w:pPr>
        <w:pStyle w:val="Normal"/>
        <w:autoSpaceDE w:val="false"/>
        <w:spacing w:lineRule="atLeast" w:line="240"/>
        <w:rPr>
          <w:color w:val="000000"/>
          <w:sz w:val="20"/>
          <w:szCs w:val="20"/>
        </w:rPr>
      </w:pPr>
      <w:r>
        <w:rPr>
          <w:color w:val="000000"/>
          <w:sz w:val="20"/>
          <w:szCs w:val="20"/>
        </w:rPr>
      </w:r>
    </w:p>
    <w:p>
      <w:pPr>
        <w:pStyle w:val="Normal"/>
        <w:autoSpaceDE w:val="false"/>
        <w:spacing w:lineRule="atLeast" w:line="240"/>
        <w:rPr>
          <w:color w:val="000000"/>
          <w:sz w:val="20"/>
          <w:szCs w:val="20"/>
        </w:rPr>
      </w:pPr>
      <w:r>
        <w:rPr>
          <w:color w:val="000000"/>
          <w:sz w:val="20"/>
          <w:szCs w:val="20"/>
        </w:rPr>
        <w:t xml:space="preserve">Enron's legislative proposal would give customers freedom to enter into a direct access transaction, while simultaneously addressing the Department of Water Resources' concerns about stranded power costs that might result from customer migration.  </w:t>
      </w:r>
    </w:p>
    <w:p>
      <w:pPr>
        <w:pStyle w:val="Normal"/>
        <w:autoSpaceDE w:val="false"/>
        <w:spacing w:lineRule="atLeast" w:line="240"/>
        <w:rPr>
          <w:color w:val="000000"/>
          <w:sz w:val="20"/>
          <w:szCs w:val="20"/>
        </w:rPr>
      </w:pPr>
      <w:r>
        <w:rPr>
          <w:color w:val="000000"/>
          <w:sz w:val="20"/>
          <w:szCs w:val="20"/>
        </w:rPr>
      </w:r>
    </w:p>
    <w:p>
      <w:pPr>
        <w:pStyle w:val="Normal"/>
        <w:autoSpaceDE w:val="false"/>
        <w:spacing w:lineRule="atLeast" w:line="240"/>
        <w:ind w:hanging="1440" w:start="1440" w:end="0"/>
        <w:rPr>
          <w:b/>
          <w:bCs/>
          <w:color w:val="000000"/>
          <w:sz w:val="20"/>
          <w:szCs w:val="20"/>
        </w:rPr>
      </w:pPr>
      <w:r>
        <w:rPr>
          <w:b/>
          <w:bCs/>
          <w:color w:val="000000"/>
          <w:sz w:val="20"/>
          <w:szCs w:val="20"/>
        </w:rPr>
        <w:t>Return California’s Investor-owned utilities to solvency</w:t>
        <w:tab/>
        <w:t>AB18X</w:t>
      </w:r>
    </w:p>
    <w:p>
      <w:pPr>
        <w:pStyle w:val="Normal"/>
        <w:autoSpaceDE w:val="false"/>
        <w:spacing w:lineRule="atLeast" w:line="240"/>
        <w:ind w:hanging="1440" w:start="1440" w:end="0"/>
        <w:rPr>
          <w:b/>
          <w:bCs/>
          <w:color w:val="000000"/>
          <w:sz w:val="20"/>
          <w:szCs w:val="20"/>
        </w:rPr>
      </w:pPr>
      <w:r>
        <w:rPr>
          <w:b/>
          <w:bCs/>
          <w:color w:val="000000"/>
          <w:sz w:val="20"/>
          <w:szCs w:val="20"/>
        </w:rPr>
      </w:r>
    </w:p>
    <w:p>
      <w:pPr>
        <w:pStyle w:val="Normal"/>
        <w:autoSpaceDE w:val="false"/>
        <w:spacing w:lineRule="atLeast" w:line="240"/>
        <w:rPr>
          <w:color w:val="000000"/>
          <w:sz w:val="20"/>
          <w:szCs w:val="20"/>
        </w:rPr>
      </w:pPr>
      <w:r>
        <w:rPr>
          <w:color w:val="000000"/>
          <w:sz w:val="20"/>
          <w:szCs w:val="20"/>
        </w:rPr>
        <w:t>Utility bankruptcy will not increase supply and it will not decrease demand.  In short, bankruptcy does nothing to solve California’s supply-demand imbalance.  In addition, bankruptcy increases the likelihood that consumers and businesses will bear the significant financial risks of having California State government assume the role of “electricity buyer” for an extended period of time.  Finally, bankruptcy will undermine both investor confidence in California's energy markets and the private sector's willingness to participate in that market.</w:t>
      </w:r>
    </w:p>
    <w:p>
      <w:pPr>
        <w:pStyle w:val="Normal"/>
        <w:autoSpaceDE w:val="false"/>
        <w:spacing w:lineRule="atLeast" w:line="240"/>
        <w:rPr>
          <w:color w:val="000000"/>
          <w:sz w:val="20"/>
          <w:szCs w:val="20"/>
        </w:rPr>
      </w:pPr>
      <w:r>
        <w:rPr>
          <w:color w:val="000000"/>
          <w:sz w:val="20"/>
          <w:szCs w:val="20"/>
        </w:rPr>
      </w:r>
    </w:p>
    <w:p>
      <w:pPr>
        <w:pStyle w:val="Normal"/>
        <w:autoSpaceDE w:val="false"/>
        <w:spacing w:lineRule="atLeast" w:line="240"/>
        <w:rPr>
          <w:color w:val="000000"/>
          <w:sz w:val="20"/>
          <w:szCs w:val="20"/>
        </w:rPr>
      </w:pPr>
      <w:r>
        <w:rPr>
          <w:color w:val="000000"/>
          <w:sz w:val="20"/>
          <w:szCs w:val="20"/>
        </w:rPr>
        <w:t>California can return the utilities to financial solvency by implementing a series of staged rate increases.  California should design those rate increases with the dual goal of returning the utilities to solvency without “shocking” the economy or household budgets For example, California could amortize the recovery of the utilities’ past debt over a 5-10 year period.  In addition, the magnitude of the rate increase can be reduced in two ways: First, the utilities could absorb some portion of their existing debt in recognition of the risk they accepted when they agreed to the structure of AB 1890.  Second, California can “net” the revenues the utilities have received from selling electricity into the Power Exchange against the debts they have accrued due to the retail price cap.</w:t>
      </w:r>
    </w:p>
    <w:p>
      <w:pPr>
        <w:pStyle w:val="Normal"/>
        <w:autoSpaceDE w:val="false"/>
        <w:spacing w:lineRule="atLeast" w:line="240"/>
        <w:rPr>
          <w:color w:val="000000"/>
          <w:sz w:val="20"/>
          <w:szCs w:val="20"/>
        </w:rPr>
      </w:pPr>
      <w:r>
        <w:rPr>
          <w:color w:val="000000"/>
          <w:sz w:val="20"/>
          <w:szCs w:val="20"/>
        </w:rPr>
      </w:r>
    </w:p>
    <w:p>
      <w:pPr>
        <w:pStyle w:val="Normal"/>
        <w:rPr>
          <w:color w:val="000000"/>
          <w:sz w:val="20"/>
          <w:szCs w:val="20"/>
        </w:rPr>
      </w:pPr>
      <w:r>
        <w:rPr>
          <w:color w:val="000000"/>
          <w:sz w:val="20"/>
          <w:szCs w:val="2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2001-02-27T18:07:00Z</dcterms:created>
  <dc:creator>jsteffe</dc:creator>
  <dc:description/>
  <dc:language>en-CA</dc:language>
  <cp:lastModifiedBy>jsteffe</cp:lastModifiedBy>
  <dcterms:modified xsi:type="dcterms:W3CDTF">2001-02-27T18:07:00Z</dcterms:modified>
  <cp:revision>2</cp:revision>
  <dc:subject/>
  <dc:title>Necessary Legislative Proposals Designed to Solve California’s Electricity Crisis</dc:title>
</cp:coreProperties>
</file>