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drawing>
          <wp:inline distT="0" distB="0" distL="0" distR="0">
            <wp:extent cx="1470025" cy="17500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2" t="-19" r="-22" b="-19"/>
                    <a:stretch>
                      <a:fillRect/>
                    </a:stretch>
                  </pic:blipFill>
                  <pic:spPr bwMode="auto">
                    <a:xfrm>
                      <a:off x="0" y="0"/>
                      <a:ext cx="1470025" cy="1750060"/>
                    </a:xfrm>
                    <a:prstGeom prst="rect">
                      <a:avLst/>
                    </a:prstGeom>
                    <a:noFill/>
                  </pic:spPr>
                </pic:pic>
              </a:graphicData>
            </a:graphic>
          </wp:inline>
        </w:drawing>
      </w:r>
    </w:p>
    <w:p>
      <w:pPr>
        <w:pStyle w:val="Normal"/>
        <w:rPr/>
      </w:pPr>
      <w:r>
        <w:rPr/>
      </w:r>
    </w:p>
    <w:p>
      <w:pPr>
        <w:pStyle w:val="Normal"/>
        <w:rPr/>
      </w:pPr>
      <w:r>
        <w:rPr/>
      </w:r>
    </w:p>
    <w:p>
      <w:pPr>
        <w:pStyle w:val="Normal"/>
        <w:rPr/>
      </w:pPr>
      <w:r>
        <w:rPr/>
      </w:r>
    </w:p>
    <w:p>
      <w:pPr>
        <w:pStyle w:val="Normal"/>
        <w:rPr/>
      </w:pPr>
      <w:r>
        <w:rPr/>
      </w:r>
    </w:p>
    <w:p>
      <w:pPr>
        <w:pStyle w:val="Normal"/>
        <w:rPr>
          <w:sz w:val="22"/>
        </w:rPr>
      </w:pPr>
      <w:r>
        <w:rPr>
          <w:sz w:val="22"/>
        </w:rPr>
        <w:t>December 11, 2001</w:t>
      </w:r>
    </w:p>
    <w:p>
      <w:pPr>
        <w:pStyle w:val="Normal"/>
        <w:rPr>
          <w:sz w:val="22"/>
        </w:rPr>
      </w:pPr>
      <w:r>
        <w:rPr>
          <w:sz w:val="22"/>
        </w:rPr>
      </w:r>
    </w:p>
    <w:p>
      <w:pPr>
        <w:pStyle w:val="Normal"/>
        <w:rPr>
          <w:u w:val="single"/>
        </w:rPr>
      </w:pPr>
      <w:r>
        <w:rPr>
          <w:u w:val="single"/>
        </w:rPr>
        <w:t>ELECTRONICALLY AND VIA FIRST CLASS MAIL</w:t>
      </w:r>
    </w:p>
    <w:p>
      <w:pPr>
        <w:pStyle w:val="Normal"/>
        <w:rPr>
          <w:u w:val="single"/>
        </w:rPr>
      </w:pPr>
      <w:r>
        <w:rPr>
          <w:u w:val="single"/>
        </w:rPr>
      </w:r>
    </w:p>
    <w:p>
      <w:pPr>
        <w:pStyle w:val="Normal"/>
        <w:rPr/>
      </w:pPr>
      <w:r>
        <w:rPr/>
        <w:t>Edward Sacks</w:t>
        <w:tab/>
        <w:tab/>
        <w:tab/>
        <w:tab/>
        <w:tab/>
        <w:t>Ms. Laura Dewett</w:t>
      </w:r>
    </w:p>
    <w:p>
      <w:pPr>
        <w:pStyle w:val="Normal"/>
        <w:rPr/>
      </w:pPr>
      <w:r>
        <w:rPr/>
        <w:t>Enron Power Marketing, Inc.</w:t>
        <w:tab/>
        <w:tab/>
        <w:t>Enron Power Marketing, Inc.</w:t>
      </w:r>
    </w:p>
    <w:p>
      <w:pPr>
        <w:pStyle w:val="Normal"/>
        <w:rPr/>
      </w:pPr>
      <w:r>
        <w:rPr/>
        <w:t>C/O Enron Corp.</w:t>
        <w:tab/>
        <w:tab/>
        <w:tab/>
        <w:tab/>
        <w:t>1400 Smith Street</w:t>
      </w:r>
    </w:p>
    <w:p>
      <w:pPr>
        <w:pStyle w:val="Normal"/>
        <w:rPr/>
      </w:pPr>
      <w:r>
        <w:rPr/>
        <w:t>1400 Smith Street</w:t>
        <w:tab/>
        <w:tab/>
        <w:tab/>
        <w:tab/>
        <w:t>Houston, Texas 77002</w:t>
      </w:r>
    </w:p>
    <w:p>
      <w:pPr>
        <w:pStyle w:val="Normal"/>
        <w:rPr/>
      </w:pPr>
      <w:r>
        <w:rPr/>
        <w:t xml:space="preserve">Houston, Texas 77002 </w:t>
      </w:r>
    </w:p>
    <w:p>
      <w:pPr>
        <w:pStyle w:val="Normal"/>
        <w:rPr/>
      </w:pPr>
      <w:r>
        <w:rPr/>
      </w:r>
    </w:p>
    <w:p>
      <w:pPr>
        <w:pStyle w:val="Normal"/>
        <w:rPr/>
      </w:pPr>
      <w:r>
        <w:rPr/>
      </w:r>
    </w:p>
    <w:p>
      <w:pPr>
        <w:pStyle w:val="Heading1"/>
        <w:ind w:hanging="0" w:start="0"/>
        <w:rPr/>
      </w:pPr>
      <w:r>
        <w:rPr/>
        <w:t>Subject:  Notice of Financial Assurance Policy Default</w:t>
      </w:r>
    </w:p>
    <w:p>
      <w:pPr>
        <w:pStyle w:val="Normal"/>
        <w:rPr/>
      </w:pPr>
      <w:r>
        <w:rPr/>
      </w:r>
    </w:p>
    <w:p>
      <w:pPr>
        <w:pStyle w:val="Normal"/>
        <w:rPr/>
      </w:pPr>
      <w:r>
        <w:rPr/>
      </w:r>
    </w:p>
    <w:p>
      <w:pPr>
        <w:pStyle w:val="Normal"/>
        <w:rPr/>
      </w:pPr>
      <w:r>
        <w:rPr/>
        <w:t>Pursuant to the NEPOOL Financial Assurance Policy (Attachment L to the NEPOOL Tariff), we are hereby notifying you that Enron Power Marketing, Inc.is in a Financial Assurance Default.  Under the Restated NEPOOL Agreement the Default must be cured within ten (10) days.  While the default occurred prior to this notice, under these circumstances, we would like to provide you the maximum time to cure and, therefore, will consider the cure period to begin on the date of this notice.  Accordingly, you must cure this Financial Assurance Default on or before December 20, 2001 as set forth below.</w:t>
      </w:r>
    </w:p>
    <w:p>
      <w:pPr>
        <w:pStyle w:val="Normal"/>
        <w:rPr/>
      </w:pPr>
      <w:r>
        <w:rPr/>
      </w:r>
    </w:p>
    <w:p>
      <w:pPr>
        <w:pStyle w:val="Normal"/>
        <w:rPr/>
      </w:pPr>
      <w:r>
        <w:rPr/>
        <w:t>The purposes of the Financial Assurance Policy, among other things, are to set forth requirements for forms of security that protect the NEPOOL Participants against the risk of non-payment by other, defaulting Participants, to set forth the conditions under which NEPOOL will conduct business so as to avoid the possibility of failure of payment for services rendered under the NEPOOL Tariff or the Restated NEPOOL Agreement, and to collect amounts past due and/or make up shortfalls in payments.  The Financial Assurance Policy requires Participants which do not meet stated credit rating requirements to provide adequate financial assurances that their indebtedness under the NEPOOL arrangements will be paid when due.  For Participants like you with substantial trading activities in the Pool, Participants are required to post 3 ½ month’s of “average or expected charges” for services under the NEPOOL and ISO arrangements.  This amount is designed to cover such charges during the time that would reasonably required to suspend or terminate a defaulting Participant’s activities in the Pool.</w:t>
      </w:r>
    </w:p>
    <w:p>
      <w:pPr>
        <w:pStyle w:val="Normal"/>
        <w:rPr/>
      </w:pPr>
      <w:r>
        <w:rPr/>
      </w:r>
    </w:p>
    <w:p>
      <w:pPr>
        <w:pStyle w:val="Normal"/>
        <w:rPr/>
      </w:pPr>
      <w:r>
        <w:rPr/>
        <w:t xml:space="preserve">In applying the Financial Assurance Policy provisions to the current circumstances, we note that you have significantly shifted your trading patterns in the period since December 2, 2001.  Accordingly, our calculation of the required financial assurance reflects this trading pattern.  If you have information that would permit us reasonably to calculate expected charges to you on a different basis, we would be happy to consider such information.  We also note that your current financial assurance is in the form of two surety bonds.  On November 30,2001 we received purported notice from the bonding company of a termination of the bonds. </w:t>
      </w:r>
    </w:p>
    <w:p>
      <w:pPr>
        <w:pStyle w:val="Normal"/>
        <w:rPr/>
      </w:pPr>
      <w:r>
        <w:rPr/>
      </w:r>
    </w:p>
    <w:p>
      <w:pPr>
        <w:pStyle w:val="Normal"/>
        <w:rPr/>
      </w:pPr>
      <w:r>
        <w:rPr/>
        <w:t xml:space="preserve">Accordingly, under the applicable provisions of the Financial Assurance Policy, ISO New England has concluded that there is a Financial Assurance Default for Enron Power Marketing, Inc. prior to the date of this notice. Pursuant to the terms of the Restated NEPOOL Agreement, this default must be cured on or before December 20, 2001.  Under the circumstances, to cure this default our application of the Policy requires that financial assurance be in the form of either cash or a letter of credit.  As discussed above, absent information which you might have that would suggest otherwise, the amount of assurance required under the Policy is $137,390,360.10.   </w:t>
      </w:r>
    </w:p>
    <w:p>
      <w:pPr>
        <w:pStyle w:val="Normal"/>
        <w:rPr/>
      </w:pPr>
      <w:r>
        <w:rPr/>
      </w:r>
    </w:p>
    <w:p>
      <w:pPr>
        <w:pStyle w:val="Normal"/>
        <w:rPr/>
      </w:pPr>
      <w:r>
        <w:rPr/>
        <w:t xml:space="preserve">ISO New England is committed to working with NEPOOL and you to cure this default and invites you to contact us as quickly as possible to explore any reasonable alternative proposals or examine any information you can provide which would be helpful in addressing this default.  Please direct any response or inquiry to Edward McKenna at ISO New England by mail, fax, or phone. </w:t>
      </w:r>
    </w:p>
    <w:p>
      <w:pPr>
        <w:pStyle w:val="Normal"/>
        <w:rPr/>
      </w:pPr>
      <w:r>
        <w:rPr/>
      </w:r>
    </w:p>
    <w:p>
      <w:pPr>
        <w:pStyle w:val="Normal"/>
        <w:rPr/>
      </w:pPr>
      <w:r>
        <w:rPr/>
        <w:t xml:space="preserve">Per the Financial Assurance Policy, the other Members and Alternates on the NEPOOL Participants Committee and the billing contacts of all other Participants, will be notified by NEPOOL of this Non-Compliance, unless the default is cured before such notice to them is sent.  ISO New England will send the required notice to the other NEPOOL Participants Committee Members and Alternatives on December 20, 2001 by close of business. </w:t>
      </w:r>
    </w:p>
    <w:p>
      <w:pPr>
        <w:pStyle w:val="Normal"/>
        <w:rPr/>
      </w:pPr>
      <w:r>
        <w:rPr/>
      </w:r>
    </w:p>
    <w:p>
      <w:pPr>
        <w:pStyle w:val="Normal"/>
        <w:rPr/>
      </w:pPr>
      <w:r>
        <w:rPr/>
        <w:t>Sincerely,</w:t>
      </w:r>
    </w:p>
    <w:p>
      <w:pPr>
        <w:pStyle w:val="Normal"/>
        <w:rPr/>
      </w:pPr>
      <w:r>
        <w:rPr/>
      </w:r>
    </w:p>
    <w:p>
      <w:pPr>
        <w:pStyle w:val="Normal"/>
        <w:rPr/>
      </w:pPr>
      <w:r>
        <w:rPr/>
      </w:r>
    </w:p>
    <w:p>
      <w:pPr>
        <w:pStyle w:val="Normal"/>
        <w:rPr/>
      </w:pPr>
      <w:r>
        <w:rPr/>
        <w:t>Cheryl A Arnold</w:t>
      </w:r>
    </w:p>
    <w:p>
      <w:pPr>
        <w:pStyle w:val="Normal"/>
        <w:rPr/>
      </w:pPr>
      <w:r>
        <w:rPr/>
        <w:t>Controller</w:t>
      </w:r>
    </w:p>
    <w:p>
      <w:pPr>
        <w:pStyle w:val="Normal"/>
        <w:rPr/>
      </w:pPr>
      <w:r>
        <w:rPr/>
      </w:r>
    </w:p>
    <w:p>
      <w:pPr>
        <w:pStyle w:val="Normal"/>
        <w:rPr/>
      </w:pPr>
      <w:r>
        <w:rPr/>
        <w:t>CC: Edward McKenna, Vice President &amp; Chief Financial Officer, ISO New England</w:t>
      </w:r>
    </w:p>
    <w:sectPr>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40" w:type="dxa"/>
      <w:jc w:val="start"/>
      <w:tblInd w:w="18" w:type="dxa"/>
      <w:tblLayout w:type="fixed"/>
      <w:tblCellMar>
        <w:top w:w="0" w:type="dxa"/>
        <w:start w:w="108" w:type="dxa"/>
        <w:bottom w:w="0" w:type="dxa"/>
        <w:end w:w="108" w:type="dxa"/>
      </w:tblCellMar>
    </w:tblPr>
    <w:tblGrid>
      <w:gridCol w:w="9540"/>
    </w:tblGrid>
    <w:tr>
      <w:trPr>
        <w:trHeight w:val="540" w:hRule="atLeast"/>
      </w:trPr>
      <w:tc>
        <w:tcPr>
          <w:tcW w:w="9540" w:type="dxa"/>
          <w:tcBorders/>
        </w:tcPr>
        <w:p>
          <w:pPr>
            <w:pStyle w:val="Footer"/>
            <w:jc w:val="end"/>
            <w:rPr/>
          </w:pPr>
          <w:r>
            <w:rPr/>
            <w:t>ISO New  England~One Sullivan Road~Holyoke, MA 01040~413-535-4000</w:t>
          </w:r>
        </w:p>
      </w:tc>
    </w:tr>
  </w:tbl>
  <w:p>
    <w:pPr>
      <w:pStyle w:val="Footer"/>
      <w:rPr>
        <w:sz w:val="4"/>
      </w:rPr>
    </w:pPr>
    <w:r>
      <w:rPr>
        <w:sz w:val="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47" w:type="dxa"/>
      <w:jc w:val="start"/>
      <w:tblInd w:w="18" w:type="dxa"/>
      <w:tblLayout w:type="fixed"/>
      <w:tblCellMar>
        <w:top w:w="0" w:type="dxa"/>
        <w:start w:w="108" w:type="dxa"/>
        <w:bottom w:w="0" w:type="dxa"/>
        <w:end w:w="108" w:type="dxa"/>
      </w:tblCellMar>
    </w:tblPr>
    <w:tblGrid>
      <w:gridCol w:w="4046"/>
      <w:gridCol w:w="1714"/>
      <w:gridCol w:w="3787"/>
    </w:tblGrid>
    <w:tr>
      <w:trPr>
        <w:trHeight w:val="405" w:hRule="atLeast"/>
      </w:trPr>
      <w:tc>
        <w:tcPr>
          <w:tcW w:w="4046" w:type="dxa"/>
          <w:tcBorders/>
        </w:tcPr>
        <w:p>
          <w:pPr>
            <w:pStyle w:val="FPath"/>
            <w:snapToGrid w:val="false"/>
            <w:rPr/>
          </w:pPr>
          <w:r>
            <w:rPr/>
          </w:r>
        </w:p>
      </w:tc>
      <w:tc>
        <w:tcPr>
          <w:tcW w:w="1714" w:type="dxa"/>
          <w:tcBorders/>
        </w:tcPr>
        <w:p>
          <w:pPr>
            <w:pStyle w:val="Footer"/>
            <w:snapToGrid w:val="false"/>
            <w:jc w:val="center"/>
            <w:rPr/>
          </w:pPr>
          <w:r>
            <w:rPr/>
          </w:r>
        </w:p>
      </w:tc>
      <w:tc>
        <w:tcPr>
          <w:tcW w:w="3787" w:type="dxa"/>
          <w:tcBorders/>
        </w:tcPr>
        <w:p>
          <w:pPr>
            <w:pStyle w:val="Footer"/>
            <w:snapToGrid w:val="false"/>
            <w:jc w:val="end"/>
            <w:rPr/>
          </w:pPr>
          <w:r>
            <w:rPr/>
          </w:r>
        </w:p>
      </w:tc>
    </w:tr>
  </w:tbl>
  <w:p>
    <w:pPr>
      <w:pStyle w:val="Footer"/>
      <w:rPr>
        <w:sz w:val="4"/>
      </w:rPr>
    </w:pPr>
    <w:r>
      <w:rPr>
        <w:sz w:val="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360" w:leader="none"/>
      </w:tabs>
      <w:outlineLvl w:val="0"/>
    </w:pPr>
    <w:rPr>
      <w:rFonts w:ascii="Times New Roman" w:hAnsi="Times New Roman" w:cs="Times New Roman"/>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rFonts w:ascii="Times New Roman" w:hAnsi="Times New Roman" w:cs="Times New Roman"/>
    </w:rPr>
  </w:style>
  <w:style w:type="paragraph" w:styleId="FPath">
    <w:name w:val="FPath"/>
    <w:basedOn w:val="Normal"/>
    <w:qFormat/>
    <w:pPr/>
    <w:rPr>
      <w:rFonts w:ascii="Times New Roman" w:hAnsi="Times New Roman" w:cs="Times New Roman"/>
      <w:sz w:val="12"/>
      <w:lang w:val="en-CA"/>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2001-12-11T21:55:00Z</dcterms:created>
  <dc:creator>Lisa A. Surdam</dc:creator>
  <dc:description/>
  <dc:language>en-CA</dc:language>
  <cp:lastModifiedBy>Cheryl Arnold</cp:lastModifiedBy>
  <dcterms:modified xsi:type="dcterms:W3CDTF">2001-12-11T21:55:00Z</dcterms:modified>
  <cp:revision>2</cp:revision>
  <dc:subject/>
  <dc:title>Pursuant to the NEPOOL Financial Assurance Policy (Attachment L to the NEPOOL Tariff), we are hereby notifying you that you are in a Financial Assurance Default</dc:title>
</cp:coreProperties>
</file>