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center"/>
        <w:rPr>
          <w:b/>
          <w:smallCaps/>
        </w:rPr>
      </w:pPr>
      <w:r>
        <w:rPr>
          <w:b/>
          <w:smallCaps/>
        </w:rPr>
      </w:r>
    </w:p>
    <w:p>
      <w:pPr>
        <w:pStyle w:val="Normal"/>
        <w:spacing w:before="0" w:after="360"/>
        <w:jc w:val="center"/>
        <w:rPr>
          <w:b/>
          <w:smallCaps/>
        </w:rPr>
      </w:pPr>
      <w:r>
        <w:rPr>
          <w:b/>
          <w:smallCaps/>
        </w:rPr>
        <w:t>Memorandum</w:t>
      </w:r>
    </w:p>
    <w:p>
      <w:pPr>
        <w:pStyle w:val="DeliveryPhrase"/>
        <w:rPr/>
      </w:pPr>
      <w:r>
        <w:rPr/>
        <w:t>Attorney Work Product</w:t>
      </w:r>
    </w:p>
    <w:tbl>
      <w:tblPr>
        <w:tblW w:w="9576" w:type="dxa"/>
        <w:jc w:val="start"/>
        <w:tblInd w:w="0" w:type="dxa"/>
        <w:tblLayout w:type="fixed"/>
        <w:tblCellMar>
          <w:top w:w="0" w:type="dxa"/>
          <w:start w:w="0" w:type="dxa"/>
          <w:bottom w:w="0" w:type="dxa"/>
          <w:end w:w="0" w:type="dxa"/>
        </w:tblCellMar>
      </w:tblPr>
      <w:tblGrid>
        <w:gridCol w:w="1440"/>
        <w:gridCol w:w="3870"/>
        <w:gridCol w:w="1170"/>
        <w:gridCol w:w="3096"/>
      </w:tblGrid>
      <w:tr>
        <w:trPr/>
        <w:tc>
          <w:tcPr>
            <w:tcW w:w="1440" w:type="dxa"/>
            <w:tcBorders/>
          </w:tcPr>
          <w:p>
            <w:pPr>
              <w:pStyle w:val="Normal"/>
              <w:snapToGrid w:val="false"/>
              <w:rPr/>
            </w:pPr>
            <w:r>
              <w:rPr/>
            </w:r>
          </w:p>
        </w:tc>
        <w:tc>
          <w:tcPr>
            <w:tcW w:w="3870" w:type="dxa"/>
            <w:tcBorders/>
          </w:tcPr>
          <w:p>
            <w:pPr>
              <w:pStyle w:val="Normal"/>
              <w:snapToGrid w:val="false"/>
              <w:spacing w:before="0" w:after="120"/>
              <w:ind w:end="432"/>
              <w:rPr/>
            </w:pPr>
            <w:r>
              <w:rPr/>
            </w:r>
          </w:p>
        </w:tc>
        <w:tc>
          <w:tcPr>
            <w:tcW w:w="1170" w:type="dxa"/>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35509.00300</w:t>
            </w:r>
          </w:p>
        </w:tc>
      </w:tr>
      <w:tr>
        <w:trPr/>
        <w:tc>
          <w:tcPr>
            <w:tcW w:w="1440" w:type="dxa"/>
            <w:tcBorders/>
          </w:tcPr>
          <w:p>
            <w:pPr>
              <w:pStyle w:val="Normal"/>
              <w:spacing w:before="0" w:after="120"/>
              <w:rPr/>
            </w:pPr>
            <w:r>
              <w:rPr/>
              <w:t>TO:</w:t>
            </w:r>
          </w:p>
        </w:tc>
        <w:tc>
          <w:tcPr>
            <w:tcW w:w="3870" w:type="dxa"/>
            <w:tcBorders/>
          </w:tcPr>
          <w:p>
            <w:pPr>
              <w:pStyle w:val="Normal"/>
              <w:spacing w:before="0" w:after="120"/>
              <w:ind w:end="432"/>
              <w:rPr/>
            </w:pPr>
            <w:r>
              <w:rPr/>
              <w:t>Enron/NSM Litigation File</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CC:</w:t>
            </w:r>
          </w:p>
        </w:tc>
        <w:tc>
          <w:tcPr>
            <w:tcW w:w="3870" w:type="dxa"/>
            <w:tcBorders/>
          </w:tcPr>
          <w:p>
            <w:pPr>
              <w:pStyle w:val="Normal"/>
              <w:spacing w:before="0" w:after="120"/>
              <w:ind w:end="432"/>
              <w:rPr/>
            </w:pPr>
            <w:r>
              <w:rPr/>
              <w:t>Richard Sanders</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FROM:</w:t>
            </w:r>
          </w:p>
        </w:tc>
        <w:tc>
          <w:tcPr>
            <w:tcW w:w="3870" w:type="dxa"/>
            <w:tcBorders/>
          </w:tcPr>
          <w:p>
            <w:pPr>
              <w:pStyle w:val="Normal"/>
              <w:spacing w:before="0" w:after="120"/>
              <w:ind w:end="432"/>
              <w:rPr/>
            </w:pPr>
            <w:r>
              <w:rPr/>
              <w:t>Steve Howard</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rPr/>
            </w:pPr>
            <w:r>
              <w:rPr/>
              <w:t>DATE:</w:t>
            </w:r>
          </w:p>
        </w:tc>
        <w:tc>
          <w:tcPr>
            <w:tcW w:w="8136" w:type="dxa"/>
            <w:gridSpan w:val="3"/>
            <w:tcBorders/>
          </w:tcPr>
          <w:p>
            <w:pPr>
              <w:pStyle w:val="Normal"/>
              <w:spacing w:before="0" w:after="120"/>
              <w:ind w:end="216"/>
              <w:rPr>
                <w:lang w:val="en-CA"/>
              </w:rPr>
            </w:pPr>
            <w:r>
              <w:rPr>
                <w:lang w:val="en-CA"/>
              </w:rPr>
              <w:fldChar w:fldCharType="begin"/>
            </w:r>
            <w:r>
              <w:rPr>
                <w:lang w:val="en-CA"/>
              </w:rPr>
              <w:instrText xml:space="preserve"> DATE \@"MMMM\ d', 'yyyy" </w:instrText>
            </w:r>
            <w:r>
              <w:rPr>
                <w:lang w:val="en-CA"/>
              </w:rPr>
              <w:fldChar w:fldCharType="separate"/>
            </w:r>
            <w:r>
              <w:rPr>
                <w:lang w:val="en-CA"/>
              </w:rPr>
              <w:t>September 28, 2025</w:t>
            </w:r>
            <w:r>
              <w:rPr>
                <w:lang w:val="en-CA"/>
              </w:rPr>
              <w:fldChar w:fldCharType="end"/>
            </w:r>
          </w:p>
        </w:tc>
      </w:tr>
      <w:tr>
        <w:trPr/>
        <w:tc>
          <w:tcPr>
            <w:tcW w:w="1440" w:type="dxa"/>
            <w:tcBorders/>
          </w:tcPr>
          <w:p>
            <w:pPr>
              <w:pStyle w:val="Normal"/>
              <w:spacing w:before="0" w:after="120"/>
              <w:rPr/>
            </w:pPr>
            <w:r>
              <w:rPr/>
              <w:t>RE:</w:t>
            </w:r>
          </w:p>
        </w:tc>
        <w:tc>
          <w:tcPr>
            <w:tcW w:w="8136" w:type="dxa"/>
            <w:gridSpan w:val="3"/>
            <w:tcBorders/>
          </w:tcPr>
          <w:p>
            <w:pPr>
              <w:pStyle w:val="Normal"/>
              <w:spacing w:before="0" w:after="120"/>
              <w:ind w:end="216"/>
              <w:rPr/>
            </w:pPr>
            <w:r>
              <w:rPr/>
              <w:t xml:space="preserve">Enron's Fees in NSM Financing Transaction </w:t>
            </w:r>
            <w:r>
              <w:rPr>
                <w:b/>
              </w:rPr>
              <w:t>[REVISED]</w:t>
            </w:r>
          </w:p>
        </w:tc>
      </w:tr>
      <w:tr>
        <w:trPr/>
        <w:tc>
          <w:tcPr>
            <w:tcW w:w="9576" w:type="dxa"/>
            <w:gridSpan w:val="4"/>
            <w:tcBorders>
              <w:top w:val="double" w:sz="4" w:space="0" w:color="000000"/>
            </w:tcBorders>
            <w:tcMar>
              <w:start w:w="108" w:type="dxa"/>
              <w:end w:w="108" w:type="dxa"/>
            </w:tcMar>
          </w:tcPr>
          <w:p>
            <w:pPr>
              <w:pStyle w:val="Normal"/>
              <w:snapToGrid w:val="false"/>
              <w:rPr>
                <w:b/>
              </w:rPr>
            </w:pPr>
            <w:r>
              <w:rPr>
                <w:b/>
              </w:rPr>
            </w:r>
          </w:p>
        </w:tc>
      </w:tr>
    </w:tbl>
    <w:p>
      <w:pPr>
        <w:pStyle w:val="Normal"/>
        <w:spacing w:lineRule="auto" w:line="480"/>
        <w:ind w:firstLine="1440" w:end="0"/>
        <w:rPr/>
      </w:pPr>
      <w:r>
        <w:rPr/>
        <w:t xml:space="preserve">According to Enron's internal Deal Approval Sheet ("DASH"), which indicates that it was prepared sometime </w:t>
      </w:r>
      <w:r>
        <w:rPr>
          <w:u w:val="single"/>
        </w:rPr>
        <w:t>after</w:t>
      </w:r>
      <w:r>
        <w:rPr/>
        <w:t xml:space="preserve"> March 2, 1998, Enron was to receive the following fees:</w:t>
      </w:r>
    </w:p>
    <w:p>
      <w:pPr>
        <w:pStyle w:val="Normal"/>
        <w:ind w:firstLine="1440" w:end="0"/>
        <w:rPr/>
      </w:pPr>
      <w:r>
        <w:rPr/>
      </w:r>
    </w:p>
    <w:p>
      <w:pPr>
        <w:pStyle w:val="Normal"/>
        <w:spacing w:lineRule="auto" w:line="480"/>
        <w:ind w:firstLine="1440" w:end="0"/>
        <w:rPr/>
      </w:pPr>
      <w:r>
        <w:rPr/>
        <w:t>Transaction Sponsorship Fee             $600,000</w:t>
      </w:r>
    </w:p>
    <w:p>
      <w:pPr>
        <w:pStyle w:val="Normal"/>
        <w:spacing w:lineRule="auto" w:line="480"/>
        <w:ind w:firstLine="1440" w:end="0"/>
        <w:rPr/>
      </w:pPr>
      <w:r>
        <w:rPr/>
        <w:t>Contingent Equity Fee                       $125,000</w:t>
      </w:r>
    </w:p>
    <w:p>
      <w:pPr>
        <w:pStyle w:val="Normal"/>
        <w:spacing w:lineRule="auto" w:line="480"/>
        <w:ind w:firstLine="1440" w:end="0"/>
        <w:rPr/>
      </w:pPr>
      <w:r>
        <w:rPr/>
        <w:t>Underwriting Fees                          $1,000,000</w:t>
      </w:r>
    </w:p>
    <w:p>
      <w:pPr>
        <w:pStyle w:val="Normal"/>
        <w:spacing w:lineRule="auto" w:line="480"/>
        <w:ind w:firstLine="1440" w:end="0"/>
        <w:rPr/>
      </w:pPr>
      <w:r>
        <w:rPr/>
        <w:t>The documents appear to show that Enron did in fact receive these fees, although Enron's $1,000,000 share of the overall underwriting fees may have been net of Enron's share of NatWest's expenses.</w:t>
      </w:r>
    </w:p>
    <w:p>
      <w:pPr>
        <w:pStyle w:val="Normal"/>
        <w:spacing w:lineRule="auto" w:line="480"/>
        <w:ind w:firstLine="1440" w:end="0"/>
        <w:rPr/>
      </w:pPr>
      <w:r>
        <w:rPr/>
        <w:t>The first two fees mentioned were not paid separately.  Rather NSM made one lump sum payment directly to Enron Capital &amp; Trade Resources Corp. ("ECTRC") in the amount of $725,000.  Documents reflecting this payment appear in Exhibit 666. This item also appears on Brian's fee schedule (Ex 268/551.)  All documents put the date of this payment at 3/13/98.  Also within Ex 666 is a letter from ECTRC to NSM confirming an agreement for NSM to pay ECTRC a fee of $725,000 "for services rendered."  This letter is dated 3/5/98.</w:t>
      </w:r>
    </w:p>
    <w:p>
      <w:pPr>
        <w:pStyle w:val="Normal"/>
        <w:spacing w:lineRule="auto" w:line="480"/>
        <w:ind w:firstLine="1440" w:end="0"/>
        <w:rPr/>
      </w:pPr>
      <w:r>
        <w:rPr/>
        <w:t>The documents in Ex 666 also reflect a direct payment by NSM of Akin, Gump's legal fees in the amount of $50,000.  (Note:  other documents show payments to Skadden LA for about $190,000.  I believe that Skadden's clients included Enron (and perhaps no one else); Skadden's serviceds related to Tranche C or the private placement or both.)</w:t>
      </w:r>
    </w:p>
    <w:p>
      <w:pPr>
        <w:pStyle w:val="Normal"/>
        <w:spacing w:lineRule="auto" w:line="480"/>
        <w:ind w:firstLine="1440" w:end="0"/>
        <w:rPr/>
      </w:pPr>
      <w:r>
        <w:rPr/>
        <w:t>The underwriting fees are more complicated.  Exhibit 800 is an agreement between NSM and Gleacher NatWest dated 8/5/97 whereby NSM agreed to pay an underwriting fee of 3.75% of the gross proceeds of the offering, with NatWest to get at least 75% of that fee, and NatWest's expenses limited to $75,000.  Looking at the three tranches, a 3.75% underwriting fee on the gross proceeds would be:</w:t>
      </w:r>
    </w:p>
    <w:p>
      <w:pPr>
        <w:pStyle w:val="Normal"/>
        <w:spacing w:lineRule="auto" w:line="480"/>
        <w:ind w:firstLine="1440" w:end="0"/>
        <w:rPr/>
      </w:pPr>
      <w:r>
        <w:rPr/>
        <w:t>Tranche A</w:t>
        <w:tab/>
        <w:t>Gross Proceeds     $225,594,000</w:t>
        <w:tab/>
        <w:t>Fee  $8,459,775</w:t>
      </w:r>
    </w:p>
    <w:p>
      <w:pPr>
        <w:pStyle w:val="Normal"/>
        <w:spacing w:lineRule="auto" w:line="480"/>
        <w:ind w:firstLine="1440" w:end="0"/>
        <w:rPr/>
      </w:pPr>
      <w:r>
        <w:rPr/>
        <w:t>Tranche B</w:t>
        <w:tab/>
        <w:t>Gross Proceeds     $175,010,000</w:t>
        <w:tab/>
        <w:t>Fee  $6,562,875</w:t>
      </w:r>
    </w:p>
    <w:p>
      <w:pPr>
        <w:pStyle w:val="Normal"/>
        <w:spacing w:lineRule="auto" w:line="480"/>
        <w:ind w:firstLine="1440" w:end="0"/>
        <w:rPr/>
      </w:pPr>
      <w:r>
        <w:rPr/>
        <w:t>Tranche C</w:t>
        <w:tab/>
        <w:t xml:space="preserve">Gross Proceeds       </w:t>
      </w:r>
      <w:r>
        <w:rPr>
          <w:u w:val="single"/>
        </w:rPr>
        <w:t>$43,500,000</w:t>
      </w:r>
      <w:r>
        <w:rPr>
          <w:rStyle w:val="FootnoteCharacters"/>
          <w:rStyle w:val="FootnoteReference"/>
        </w:rPr>
        <w:footnoteReference w:id="2"/>
      </w:r>
      <w:r>
        <w:rPr/>
        <w:tab/>
        <w:t xml:space="preserve">Fee  </w:t>
      </w:r>
      <w:r>
        <w:rPr>
          <w:u w:val="single"/>
        </w:rPr>
        <w:t>$1,631,250</w:t>
      </w:r>
    </w:p>
    <w:p>
      <w:pPr>
        <w:pStyle w:val="Normal"/>
        <w:spacing w:lineRule="auto" w:line="480"/>
        <w:ind w:firstLine="1440" w:end="0"/>
        <w:rPr/>
      </w:pPr>
      <w:r>
        <w:rPr/>
        <w:t xml:space="preserve">TOTAL                                        $444,104,000               $16,653,900      </w:t>
      </w:r>
    </w:p>
    <w:p>
      <w:pPr>
        <w:pStyle w:val="Normal"/>
        <w:spacing w:lineRule="auto" w:line="480"/>
        <w:ind w:firstLine="1440" w:end="0"/>
        <w:rPr/>
      </w:pPr>
      <w:r>
        <w:rPr/>
        <w:t>Payments of the three fee amounts above by NSM to NatWest Capital on 3/12/98 appear clearly on Exhibit 268/551.  But the paper trail nearly ends there.  So far I have seen no records of any distribution of the $16,653,900 in underwriting fees by NatWest to McDonald, PaineWeber, and Enron, except for Enron's portion of the fees on Tranche C.  Stickler testified that the fees were to be distributed 75% to NatWest, 10% to PaineWeber, 9% to McDonald, and 6% to Enron; and there is a lot of circumstantial evidence that Sticker is right.</w:t>
      </w:r>
    </w:p>
    <w:p>
      <w:pPr>
        <w:pStyle w:val="Normal"/>
        <w:spacing w:lineRule="auto" w:line="480"/>
        <w:ind w:firstLine="1440" w:end="0"/>
        <w:rPr/>
      </w:pPr>
      <w:r>
        <w:rPr/>
        <w:t>First, 6% of $16,653,900 is $999,234, perilously close to the $1,000,000 that the DASH says that Enron should receive (although, per Brian Barth, the ultimate distribution was probably net of some big fees.  The NSM/NatWest agreement [Exhibit 800] limits NatWest's expenses reimbursable by NSM to $75,000, and Cravath undoubtedly charged a lot more than that.)</w:t>
      </w:r>
    </w:p>
    <w:p>
      <w:pPr>
        <w:pStyle w:val="Normal"/>
        <w:spacing w:lineRule="auto" w:line="480"/>
        <w:ind w:firstLine="1440" w:end="0"/>
        <w:rPr/>
      </w:pPr>
      <w:r>
        <w:rPr/>
        <w:t>Second, if one looks at the allocation of the A notes and the B units among the Initial Purchasers in Exhibit A to the Purchase Agreement, the allocation of each issue is exactly 75% to NatWest, 10% to PaineWeber, 9% to McDonald, and 6% to Enron.  It seems very likely that these allocations were made after the 75-10-9-6 split was determined and were intended to reflect this fee allocation.</w:t>
      </w:r>
    </w:p>
    <w:p>
      <w:pPr>
        <w:pStyle w:val="Normal"/>
        <w:spacing w:lineRule="auto" w:line="480"/>
        <w:ind w:firstLine="1440" w:end="0"/>
        <w:rPr/>
      </w:pPr>
      <w:r>
        <w:rPr/>
        <w:t>Third, Exhibit 305 reflects a payment to Enron from Nat West in the amount of $97,875, precisely 6% of the underwriting fee for Tranche C of $1,631,250.</w:t>
      </w:r>
    </w:p>
    <w:p>
      <w:pPr>
        <w:pStyle w:val="Normal"/>
        <w:ind w:firstLine="1440" w:end="0"/>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D:\Local Files\Enron Fees.doc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8:36 AM</w:t>
    </w:r>
    <w:r>
      <w:rPr>
        <w:rStyle w:val="zzmpTrailerItem"/>
      </w:rPr>
      <w:fldChar w:fldCharType="end"/>
    </w:r>
    <w: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D:\Local Files\Enron Fees.doc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8:36 AM</w:t>
    </w:r>
    <w:r>
      <w:rPr>
        <w:rStyle w:val="zzmpTrailerItem"/>
      </w:rPr>
      <w:fldChar w:fldCharType="end"/>
    </w:r>
    <w:r>
      <w:rPr/>
      <w:t xml:space="preserve"> </w:t>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Gross proceeds of debentures only, does not include equity portion of Tranche C</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zzmpFixedDOC_ID" w:val="D:\Local Files\Enron Fees.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2">
    <w:name w:val="WW8Num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1stline">
    <w:name w:val="1stline"/>
    <w:basedOn w:val="Normal"/>
    <w:qFormat/>
    <w:pPr>
      <w:suppressAutoHyphens w:val="true"/>
      <w:ind w:firstLine="1440" w:start="0" w:end="0"/>
    </w:pPr>
    <w:rPr>
      <w:lang w:eastAsia="en-US"/>
    </w:rPr>
  </w:style>
  <w:style w:type="paragraph" w:styleId="IPL1">
    <w:name w:val="IP_L1"/>
    <w:basedOn w:val="Normal"/>
    <w:next w:val="Normal"/>
    <w:qFormat/>
    <w:pPr>
      <w:keepNext w:val="true"/>
      <w:numPr>
        <w:ilvl w:val="0"/>
        <w:numId w:val="2"/>
      </w:numPr>
      <w:spacing w:before="240" w:after="240"/>
      <w:outlineLvl w:val="0"/>
    </w:pPr>
    <w:rPr>
      <w:caps/>
    </w:rPr>
  </w:style>
  <w:style w:type="paragraph" w:styleId="IPL2">
    <w:name w:val="IP_L2"/>
    <w:basedOn w:val="Normal"/>
    <w:next w:val="Normal"/>
    <w:qFormat/>
    <w:pPr>
      <w:numPr>
        <w:ilvl w:val="0"/>
        <w:numId w:val="2"/>
      </w:numPr>
      <w:spacing w:before="0" w:after="240"/>
      <w:outlineLvl w:val="1"/>
    </w:pPr>
    <w:rPr/>
  </w:style>
  <w:style w:type="paragraph" w:styleId="MAMergerL1">
    <w:name w:val="MAMerger_L1"/>
    <w:basedOn w:val="Normal"/>
    <w:next w:val="Normal"/>
    <w:qFormat/>
    <w:pPr>
      <w:keepNext w:val="true"/>
      <w:numPr>
        <w:ilvl w:val="0"/>
        <w:numId w:val="3"/>
      </w:numPr>
      <w:spacing w:before="240" w:after="240"/>
      <w:outlineLvl w:val="0"/>
    </w:pPr>
    <w:rPr>
      <w: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2000-09-30T22:56:00Z</dcterms:created>
  <dc:creator>SHoward</dc:creator>
  <dc:description/>
  <dc:language>en-CA</dc:language>
  <cp:lastModifiedBy>SHoward</cp:lastModifiedBy>
  <dcterms:modified xsi:type="dcterms:W3CDTF">2000-10-01T21:28:00Z</dcterms:modified>
  <cp:revision>11</cp:revision>
  <dc:subject/>
  <dc:title>Word 8.0 Generic Normal Template, rev. 4/1/97, The Legal MacPac</dc:title>
</cp:coreProperties>
</file>