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r>
    </w:p>
    <w:p>
      <w:pPr>
        <w:pStyle w:val="Heading1"/>
        <w:rPr/>
      </w:pPr>
      <w:r>
        <w:rPr/>
        <w:t>Via Federal Express</w:t>
      </w:r>
    </w:p>
    <w:p>
      <w:pPr>
        <w:pStyle w:val="Normal"/>
        <w:jc w:val="both"/>
        <w:rPr>
          <w:rFonts w:ascii="Arial;Helvetica" w:hAnsi="Arial;Helvetica" w:cs="Arial;Helvetica"/>
          <w:sz w:val="22"/>
        </w:rPr>
      </w:pPr>
      <w:r>
        <w:rPr>
          <w:rFonts w:cs="Arial;Helvetica" w:ascii="Arial;Helvetica" w:hAnsi="Arial;Helvetica"/>
          <w:sz w:val="22"/>
        </w:rPr>
      </w:r>
    </w:p>
    <w:p>
      <w:pPr>
        <w:pStyle w:val="Normal"/>
        <w:jc w:val="both"/>
        <w:rPr>
          <w:rFonts w:ascii="Arial;Helvetica" w:hAnsi="Arial;Helvetica" w:cs="Arial;Helvetica"/>
          <w:sz w:val="22"/>
        </w:rPr>
      </w:pPr>
      <w:r>
        <w:rPr>
          <w:rFonts w:cs="Arial;Helvetica" w:ascii="Arial;Helvetica" w:hAnsi="Arial;Helvetica"/>
          <w:sz w:val="22"/>
        </w:rPr>
      </w:r>
    </w:p>
    <w:p>
      <w:pPr>
        <w:pStyle w:val="Normal"/>
        <w:jc w:val="both"/>
        <w:rPr>
          <w:rFonts w:ascii="Arial;Helvetica" w:hAnsi="Arial;Helvetica" w:cs="Arial;Helvetica"/>
          <w:sz w:val="22"/>
        </w:rPr>
      </w:pPr>
      <w:r>
        <w:rPr>
          <w:rFonts w:cs="Arial;Helvetica" w:ascii="Arial;Helvetica" w:hAnsi="Arial;Helvetica"/>
          <w:sz w:val="22"/>
        </w:rPr>
        <w:t>June 12, 2002</w:t>
      </w:r>
    </w:p>
    <w:p>
      <w:pPr>
        <w:pStyle w:val="Normal"/>
        <w:jc w:val="both"/>
        <w:rPr>
          <w:rFonts w:ascii="Arial;Helvetica" w:hAnsi="Arial;Helvetica" w:cs="Arial;Helvetica"/>
          <w:sz w:val="22"/>
        </w:rPr>
      </w:pPr>
      <w:r>
        <w:rPr>
          <w:rFonts w:cs="Arial;Helvetica" w:ascii="Arial;Helvetica" w:hAnsi="Arial;Helvetica"/>
          <w:sz w:val="22"/>
        </w:rPr>
      </w:r>
    </w:p>
    <w:p>
      <w:pPr>
        <w:pStyle w:val="Normal"/>
        <w:jc w:val="both"/>
        <w:rPr>
          <w:rFonts w:ascii="Arial;Helvetica" w:hAnsi="Arial;Helvetica" w:cs="Arial;Helvetica"/>
          <w:sz w:val="22"/>
        </w:rPr>
      </w:pPr>
      <w:r>
        <w:rPr>
          <w:rFonts w:cs="Arial;Helvetica" w:ascii="Arial;Helvetica" w:hAnsi="Arial;Helvetica"/>
          <w:sz w:val="22"/>
        </w:rPr>
      </w:r>
    </w:p>
    <w:p>
      <w:pPr>
        <w:pStyle w:val="Normal"/>
        <w:jc w:val="both"/>
        <w:rPr>
          <w:rFonts w:ascii="Arial;Helvetica" w:hAnsi="Arial;Helvetica" w:cs="Arial;Helvetica"/>
          <w:sz w:val="22"/>
        </w:rPr>
      </w:pPr>
      <w:r>
        <w:rPr>
          <w:rFonts w:cs="Arial;Helvetica" w:ascii="Arial;Helvetica" w:hAnsi="Arial;Helvetica"/>
          <w:sz w:val="22"/>
        </w:rPr>
      </w:r>
    </w:p>
    <w:p>
      <w:pPr>
        <w:pStyle w:val="Normal"/>
        <w:jc w:val="both"/>
        <w:rPr/>
      </w:pPr>
      <w:r>
        <w:rPr>
          <w:rFonts w:cs="Arial;Helvetica" w:ascii="Arial;Helvetica" w:hAnsi="Arial;Helvetica"/>
          <w:sz w:val="22"/>
        </w:rPr>
        <w:t>Ms. Gwen Williams</w:t>
      </w:r>
      <w:r>
        <w:rPr>
          <w:rFonts w:cs="Arial;Helvetica" w:ascii="Arial;Helvetica" w:hAnsi="Arial;Helvetica"/>
        </w:rPr>
        <w:tab/>
      </w:r>
      <w:r>
        <w:rPr>
          <w:rFonts w:cs="Arial;Helvetica" w:ascii="Arial;Helvetica" w:hAnsi="Arial;Helvetica"/>
          <w:sz w:val="18"/>
        </w:rPr>
        <w:t xml:space="preserve">  </w:t>
      </w:r>
      <w:r>
        <w:rPr>
          <w:rFonts w:cs="Arial;Helvetica" w:ascii="Arial;Helvetica" w:hAnsi="Arial;Helvetica"/>
          <w:b/>
          <w:bCs/>
          <w:i/>
          <w:iCs/>
          <w:sz w:val="16"/>
        </w:rPr>
        <w:t>Phone Number (713) 853-6488</w:t>
      </w:r>
    </w:p>
    <w:p>
      <w:pPr>
        <w:pStyle w:val="Normal"/>
        <w:jc w:val="both"/>
        <w:rPr>
          <w:rFonts w:ascii="Arial;Helvetica" w:hAnsi="Arial;Helvetica" w:cs="Arial;Helvetica"/>
          <w:sz w:val="22"/>
        </w:rPr>
      </w:pPr>
      <w:r>
        <w:rPr>
          <w:rFonts w:cs="Arial;Helvetica" w:ascii="Arial;Helvetica" w:hAnsi="Arial;Helvetica"/>
          <w:b/>
          <w:sz w:val="22"/>
        </w:rPr>
        <w:t xml:space="preserve">Enron Power Marketing, Inc. </w:t>
      </w:r>
    </w:p>
    <w:p>
      <w:pPr>
        <w:pStyle w:val="Normal"/>
        <w:jc w:val="both"/>
        <w:rPr>
          <w:rFonts w:ascii="Arial;Helvetica" w:hAnsi="Arial;Helvetica" w:cs="Arial;Helvetica"/>
          <w:sz w:val="22"/>
        </w:rPr>
      </w:pPr>
      <w:r>
        <w:rPr>
          <w:rFonts w:cs="Arial;Helvetica" w:ascii="Arial;Helvetica" w:hAnsi="Arial;Helvetica"/>
          <w:sz w:val="22"/>
        </w:rPr>
        <w:t>1400 Smith Street</w:t>
      </w:r>
    </w:p>
    <w:p>
      <w:pPr>
        <w:pStyle w:val="Normal"/>
        <w:jc w:val="both"/>
        <w:rPr>
          <w:rFonts w:ascii="Arial;Helvetica" w:hAnsi="Arial;Helvetica" w:cs="Arial;Helvetica"/>
          <w:sz w:val="22"/>
        </w:rPr>
      </w:pPr>
      <w:r>
        <w:rPr>
          <w:rFonts w:cs="Arial;Helvetica" w:ascii="Arial;Helvetica" w:hAnsi="Arial;Helvetica"/>
          <w:sz w:val="22"/>
        </w:rPr>
        <w:t>Houston, TX 77002</w:t>
      </w:r>
    </w:p>
    <w:p>
      <w:pPr>
        <w:pStyle w:val="Normal"/>
        <w:jc w:val="both"/>
        <w:rPr>
          <w:rFonts w:ascii="Arial;Helvetica" w:hAnsi="Arial;Helvetica" w:cs="Arial;Helvetica"/>
          <w:sz w:val="22"/>
        </w:rPr>
      </w:pPr>
      <w:r>
        <w:rPr>
          <w:rFonts w:cs="Arial;Helvetica" w:ascii="Arial;Helvetica" w:hAnsi="Arial;Helvetica"/>
          <w:sz w:val="22"/>
        </w:rPr>
      </w:r>
    </w:p>
    <w:p>
      <w:pPr>
        <w:pStyle w:val="Normal"/>
        <w:tabs>
          <w:tab w:val="clear" w:pos="720"/>
          <w:tab w:val="left" w:pos="-1440" w:leader="none"/>
        </w:tabs>
        <w:ind w:hanging="720" w:start="720" w:end="0"/>
        <w:jc w:val="both"/>
        <w:rPr>
          <w:rFonts w:ascii="Arial;Helvetica" w:hAnsi="Arial;Helvetica" w:cs="Arial;Helvetica"/>
          <w:b/>
          <w:sz w:val="18"/>
        </w:rPr>
      </w:pPr>
      <w:r>
        <w:rPr>
          <w:rFonts w:cs="Arial;Helvetica" w:ascii="Arial;Helvetica" w:hAnsi="Arial;Helvetica"/>
          <w:b/>
          <w:sz w:val="18"/>
        </w:rPr>
        <w:t>RE:</w:t>
        <w:tab/>
        <w:t>Hanson Permanente Cement's  Enron Invoice 16298SA.</w:t>
      </w:r>
    </w:p>
    <w:p>
      <w:pPr>
        <w:pStyle w:val="Normal"/>
        <w:numPr>
          <w:ilvl w:val="0"/>
          <w:numId w:val="0"/>
        </w:numPr>
        <w:ind w:firstLine="720" w:end="0"/>
        <w:jc w:val="both"/>
        <w:outlineLvl w:val="0"/>
        <w:rPr>
          <w:rFonts w:ascii="Arial;Helvetica" w:hAnsi="Arial;Helvetica" w:cs="Arial;Helvetica"/>
          <w:sz w:val="18"/>
        </w:rPr>
      </w:pPr>
      <w:r>
        <w:rPr>
          <w:rFonts w:cs="Arial;Helvetica" w:ascii="Arial;Helvetica" w:hAnsi="Arial;Helvetica"/>
          <w:b/>
          <w:sz w:val="18"/>
        </w:rPr>
        <w:t>Electrical Power – Contract No: 95001154.</w:t>
      </w:r>
    </w:p>
    <w:p>
      <w:pPr>
        <w:pStyle w:val="Normal"/>
        <w:jc w:val="both"/>
        <w:rPr>
          <w:rFonts w:ascii="Arial;Helvetica" w:hAnsi="Arial;Helvetica" w:cs="Arial;Helvetica"/>
          <w:sz w:val="22"/>
        </w:rPr>
      </w:pPr>
      <w:r>
        <w:rPr>
          <w:rFonts w:cs="Arial;Helvetica" w:ascii="Arial;Helvetica" w:hAnsi="Arial;Helvetica"/>
          <w:sz w:val="22"/>
        </w:rPr>
      </w:r>
    </w:p>
    <w:p>
      <w:pPr>
        <w:pStyle w:val="Normal"/>
        <w:jc w:val="both"/>
        <w:rPr>
          <w:rFonts w:ascii="Arial;Helvetica" w:hAnsi="Arial;Helvetica" w:cs="Arial;Helvetica"/>
          <w:sz w:val="22"/>
        </w:rPr>
      </w:pPr>
      <w:r>
        <w:rPr>
          <w:rFonts w:cs="Arial;Helvetica" w:ascii="Arial;Helvetica" w:hAnsi="Arial;Helvetica"/>
          <w:sz w:val="22"/>
        </w:rPr>
        <w:t>Dear Ms. Williams:</w:t>
      </w:r>
    </w:p>
    <w:p>
      <w:pPr>
        <w:pStyle w:val="Normal"/>
        <w:jc w:val="both"/>
        <w:rPr>
          <w:rFonts w:ascii="Arial;Helvetica" w:hAnsi="Arial;Helvetica" w:cs="Arial;Helvetica"/>
          <w:sz w:val="22"/>
        </w:rPr>
      </w:pPr>
      <w:r>
        <w:rPr>
          <w:rFonts w:cs="Arial;Helvetica" w:ascii="Arial;Helvetica" w:hAnsi="Arial;Helvetica"/>
          <w:sz w:val="22"/>
        </w:rPr>
      </w:r>
    </w:p>
    <w:p>
      <w:pPr>
        <w:pStyle w:val="BodyText2"/>
        <w:rPr/>
      </w:pPr>
      <w:r>
        <w:rPr/>
        <w:t>Enclosed is Hanson Permanente Cement’s check number 099836 dated June 7, 2002 in the amount of $731,000.00 in payment of the undisputed amount of the subject invoice.</w:t>
      </w:r>
    </w:p>
    <w:p>
      <w:pPr>
        <w:pStyle w:val="Normal"/>
        <w:jc w:val="both"/>
        <w:rPr>
          <w:rFonts w:ascii="Arial;Helvetica" w:hAnsi="Arial;Helvetica" w:cs="Arial;Helvetica"/>
          <w:sz w:val="22"/>
        </w:rPr>
      </w:pPr>
      <w:r>
        <w:rPr>
          <w:rFonts w:cs="Arial;Helvetica" w:ascii="Arial;Helvetica" w:hAnsi="Arial;Helvetica"/>
          <w:sz w:val="22"/>
        </w:rPr>
      </w:r>
    </w:p>
    <w:p>
      <w:pPr>
        <w:pStyle w:val="BodyText2"/>
        <w:rPr/>
      </w:pPr>
      <w:r>
        <w:rPr/>
        <w:t>Section 2.8 of the Enron Master Electric Energy Services and Sales Agreement (Agreement) allows disputed payments as long as a written explanation is provided and payment of the undisputed portion is paid by the due date. The $731,000.00 is Hanson’s good faith estimate of the undisputed amount. Hanson’s “written explanation specifying the dispute” follows:</w:t>
      </w:r>
    </w:p>
    <w:p>
      <w:pPr>
        <w:pStyle w:val="Normal"/>
        <w:jc w:val="both"/>
        <w:rPr>
          <w:rFonts w:ascii="Arial;Helvetica" w:hAnsi="Arial;Helvetica" w:cs="Arial;Helvetica"/>
          <w:sz w:val="22"/>
        </w:rPr>
      </w:pPr>
      <w:r>
        <w:rPr>
          <w:rFonts w:cs="Arial;Helvetica" w:ascii="Arial;Helvetica" w:hAnsi="Arial;Helvetica"/>
          <w:sz w:val="22"/>
        </w:rPr>
      </w:r>
    </w:p>
    <w:p>
      <w:pPr>
        <w:pStyle w:val="BodyTextIndent"/>
        <w:rPr>
          <w:sz w:val="22"/>
        </w:rPr>
      </w:pPr>
      <w:r>
        <w:rPr>
          <w:sz w:val="22"/>
        </w:rPr>
        <w:t xml:space="preserve">The Agreement calls for Scheduling Ahead by the cement plant, and Enron buys and sells power to balance the account. In May 2002, Enron balanced the account with sales to the California Independent System Operator (CAISO). The CAISO does not provide records of those sales for 90 days, so Enron again incorrectly charged the entire schedule from the contract in May without any offset for actual usage. Enron’s “pattern” for this Agreement is from the year 1999. </w:t>
      </w:r>
    </w:p>
    <w:p>
      <w:pPr>
        <w:pStyle w:val="BodyTextIndent"/>
        <w:ind w:start="0" w:end="0"/>
        <w:rPr>
          <w:sz w:val="22"/>
        </w:rPr>
      </w:pPr>
      <w:r>
        <w:rPr>
          <w:sz w:val="22"/>
        </w:rPr>
      </w:r>
    </w:p>
    <w:p>
      <w:pPr>
        <w:pStyle w:val="BodyTextIndent"/>
        <w:rPr>
          <w:sz w:val="22"/>
        </w:rPr>
      </w:pPr>
      <w:r>
        <w:rPr>
          <w:sz w:val="22"/>
        </w:rPr>
        <w:t xml:space="preserve">The enclosed spreadsheet illustrates the method of payment for this month. The spreadsheet (Exhibit A) utilizes an estimate for kilowatt usage, and multiplies that usage times $0.0490. (Contract rate: $0.0432 plus $0.0058 CAISO settlement estimate equals $0.0490.) The next step is to consider past payments to Enron against actual kilowatt usage from Pacific Gas &amp; Electric, and then to calculate an amount that brings the total paid to date to approximate the “True Up Estimate” (column 9) on the spreadsheet. Per the Agreement, we need to “true-up” the billing on a quarterly basis. All of the invoices received by Hanson have been “incorrect” as the enclosed spreadsheet illustrates; e.g., note on Exhibit A the differences between the total kilowatts used as reported by Pacific Gas &amp; Electric and Enron. </w:t>
      </w:r>
    </w:p>
    <w:p>
      <w:pPr>
        <w:pStyle w:val="BodyTextIndent"/>
        <w:ind w:start="0" w:end="0"/>
        <w:rPr>
          <w:sz w:val="22"/>
        </w:rPr>
      </w:pPr>
      <w:r>
        <w:rPr>
          <w:sz w:val="22"/>
        </w:rPr>
      </w:r>
    </w:p>
    <w:p>
      <w:pPr>
        <w:pStyle w:val="BodyTextIndent"/>
        <w:rPr/>
      </w:pPr>
      <w:r>
        <w:rPr>
          <w:sz w:val="22"/>
        </w:rPr>
        <w:t>On April 4</w:t>
      </w:r>
      <w:r>
        <w:rPr>
          <w:sz w:val="22"/>
          <w:vertAlign w:val="superscript"/>
        </w:rPr>
        <w:t>th</w:t>
      </w:r>
      <w:r>
        <w:rPr>
          <w:sz w:val="22"/>
        </w:rPr>
        <w:t>, we talked with Caroline Emmert in Enron’s Portland office about the “true up.” Ms. Emmert was in the middle of trying to unravel the puzzle of billing, and we were unable to “true up” at that time. On April 30</w:t>
      </w:r>
      <w:r>
        <w:rPr>
          <w:sz w:val="22"/>
          <w:vertAlign w:val="superscript"/>
        </w:rPr>
        <w:t>th</w:t>
      </w:r>
      <w:r>
        <w:rPr>
          <w:sz w:val="22"/>
        </w:rPr>
        <w:t>, we received Enron Invoice # NTP020406 in the amount of $143,231 for CAISO Grid Management Charges. We responded to that invoice via telefax on April 30</w:t>
      </w:r>
      <w:r>
        <w:rPr>
          <w:sz w:val="22"/>
          <w:vertAlign w:val="superscript"/>
        </w:rPr>
        <w:t>th</w:t>
      </w:r>
      <w:r>
        <w:rPr>
          <w:sz w:val="22"/>
        </w:rPr>
        <w:t xml:space="preserve"> to Enron’s Gwen Williams and Caroline Emmert. After studying that invoice more carefully, it is evident that the $143,231 is a debit to our account. The $143,231 is the February 2002 CAISO billing, and in February, Enron charged Hanson for 6,705,000 kWh, but the PG&amp;E meter recorded 15,726,720 kWh (See Exhibit B). In January, the CAISO has a credit of $162,559 because Enron billed 16,281,000 kWh and the PG&amp;E meter recorded 4,847,292 kWh.  Please refer to Exhibit B again, and look at the CAISO Invoice column. The total of the debits and credits equals a credit of $79,792 to the Hanson Permanente account. </w:t>
      </w:r>
      <w:r>
        <w:rPr>
          <w:b/>
          <w:bCs/>
          <w:i/>
          <w:iCs/>
          <w:sz w:val="22"/>
        </w:rPr>
        <w:t>We have not received the CAISO billing for March, April and May 2002, and we believe that those CAISO billings will be a credit to our account. Please forward the referenced CAISO billing to us as soon as possible.</w:t>
      </w:r>
    </w:p>
    <w:p>
      <w:pPr>
        <w:pStyle w:val="BodyTextIndent"/>
        <w:ind w:start="0" w:end="0"/>
        <w:rPr/>
      </w:pPr>
      <w:r>
        <w:rPr>
          <w:sz w:val="22"/>
        </w:rPr>
        <w:t xml:space="preserve">We will continue to work with Caroline Emmert and Gwen Williams to resolve these billing differences as we go through the “true up.” In the interim, please note on Exhibit A that the Enron invoices and CAISO summary sheets adds up to </w:t>
      </w:r>
      <w:r>
        <w:rPr>
          <w:b/>
          <w:bCs/>
          <w:sz w:val="22"/>
        </w:rPr>
        <w:t>$4,587,535</w:t>
      </w:r>
      <w:r>
        <w:rPr>
          <w:sz w:val="22"/>
        </w:rPr>
        <w:t xml:space="preserve"> and the amount that Hanson has paid Enron adds up to </w:t>
      </w:r>
      <w:r>
        <w:rPr>
          <w:b/>
          <w:bCs/>
          <w:sz w:val="22"/>
        </w:rPr>
        <w:t>$4,711,912</w:t>
      </w:r>
      <w:r>
        <w:rPr>
          <w:sz w:val="22"/>
        </w:rPr>
        <w:t>.</w:t>
      </w:r>
    </w:p>
    <w:p>
      <w:pPr>
        <w:pStyle w:val="Normal"/>
        <w:numPr>
          <w:ilvl w:val="0"/>
          <w:numId w:val="0"/>
        </w:numPr>
        <w:jc w:val="both"/>
        <w:outlineLvl w:val="0"/>
        <w:rPr>
          <w:rFonts w:ascii="Arial;Helvetica" w:hAnsi="Arial;Helvetica" w:cs="Arial;Helvetica"/>
          <w:sz w:val="22"/>
        </w:rPr>
      </w:pPr>
      <w:r>
        <w:rPr>
          <w:rFonts w:cs="Arial;Helvetica" w:ascii="Arial;Helvetica" w:hAnsi="Arial;Helvetica"/>
          <w:sz w:val="22"/>
        </w:rPr>
      </w:r>
      <w:bookmarkStart w:id="0" w:name="QuickMark"/>
      <w:bookmarkStart w:id="1" w:name="QuickMark"/>
      <w:bookmarkEnd w:id="1"/>
    </w:p>
    <w:p>
      <w:pPr>
        <w:pStyle w:val="Normal"/>
        <w:numPr>
          <w:ilvl w:val="0"/>
          <w:numId w:val="0"/>
        </w:numPr>
        <w:jc w:val="both"/>
        <w:outlineLvl w:val="0"/>
        <w:rPr>
          <w:rFonts w:ascii="Arial;Helvetica" w:hAnsi="Arial;Helvetica" w:cs="Arial;Helvetica"/>
          <w:sz w:val="22"/>
        </w:rPr>
      </w:pPr>
      <w:r>
        <w:rPr>
          <w:rFonts w:cs="Arial;Helvetica" w:ascii="Arial;Helvetica" w:hAnsi="Arial;Helvetica"/>
          <w:sz w:val="22"/>
        </w:rPr>
        <w:t>I can be reached  at (925) 426-4084 if you have any questions.</w:t>
      </w:r>
    </w:p>
    <w:p>
      <w:pPr>
        <w:pStyle w:val="Normal"/>
        <w:jc w:val="both"/>
        <w:rPr>
          <w:rFonts w:ascii="Arial;Helvetica" w:hAnsi="Arial;Helvetica" w:cs="Arial;Helvetica"/>
          <w:sz w:val="22"/>
        </w:rPr>
      </w:pPr>
      <w:r>
        <w:rPr>
          <w:rFonts w:cs="Arial;Helvetica" w:ascii="Arial;Helvetica" w:hAnsi="Arial;Helvetica"/>
          <w:sz w:val="22"/>
        </w:rPr>
      </w:r>
    </w:p>
    <w:p>
      <w:pPr>
        <w:pStyle w:val="Normal"/>
        <w:jc w:val="both"/>
        <w:rPr>
          <w:rFonts w:ascii="Arial;Helvetica" w:hAnsi="Arial;Helvetica" w:cs="Arial;Helvetica"/>
          <w:sz w:val="22"/>
        </w:rPr>
      </w:pPr>
      <w:r>
        <w:rPr>
          <w:rFonts w:cs="Arial;Helvetica" w:ascii="Arial;Helvetica" w:hAnsi="Arial;Helvetica"/>
          <w:sz w:val="22"/>
        </w:rPr>
      </w:r>
    </w:p>
    <w:p>
      <w:pPr>
        <w:pStyle w:val="Normal"/>
        <w:numPr>
          <w:ilvl w:val="0"/>
          <w:numId w:val="0"/>
        </w:numPr>
        <w:jc w:val="both"/>
        <w:outlineLvl w:val="0"/>
        <w:rPr>
          <w:rFonts w:ascii="Arial;Helvetica" w:hAnsi="Arial;Helvetica" w:cs="Arial;Helvetica"/>
          <w:sz w:val="22"/>
        </w:rPr>
      </w:pPr>
      <w:r>
        <w:rPr>
          <w:rFonts w:cs="Arial;Helvetica" w:ascii="Arial;Helvetica" w:hAnsi="Arial;Helvetica"/>
          <w:sz w:val="22"/>
        </w:rPr>
        <w:t>Sincerely yours,</w:t>
      </w:r>
    </w:p>
    <w:p>
      <w:pPr>
        <w:pStyle w:val="Normal"/>
        <w:jc w:val="both"/>
        <w:rPr>
          <w:rFonts w:ascii="Arial;Helvetica" w:hAnsi="Arial;Helvetica" w:cs="Arial;Helvetica"/>
          <w:sz w:val="22"/>
        </w:rPr>
      </w:pPr>
      <w:r>
        <w:rPr>
          <w:rFonts w:cs="Arial;Helvetica" w:ascii="Arial;Helvetica" w:hAnsi="Arial;Helvetica"/>
          <w:sz w:val="22"/>
        </w:rPr>
      </w:r>
    </w:p>
    <w:p>
      <w:pPr>
        <w:pStyle w:val="Normal"/>
        <w:jc w:val="both"/>
        <w:rPr>
          <w:rFonts w:ascii="Arial;Helvetica" w:hAnsi="Arial;Helvetica" w:cs="Arial;Helvetica"/>
          <w:sz w:val="22"/>
        </w:rPr>
      </w:pPr>
      <w:r>
        <w:rPr>
          <w:rFonts w:cs="Arial;Helvetica" w:ascii="Arial;Helvetica" w:hAnsi="Arial;Helvetica"/>
          <w:sz w:val="22"/>
        </w:rPr>
      </w:r>
    </w:p>
    <w:p>
      <w:pPr>
        <w:pStyle w:val="Normal"/>
        <w:jc w:val="both"/>
        <w:rPr>
          <w:rFonts w:ascii="Arial;Helvetica" w:hAnsi="Arial;Helvetica" w:cs="Arial;Helvetica"/>
          <w:sz w:val="22"/>
        </w:rPr>
      </w:pPr>
      <w:r>
        <w:rPr>
          <w:rFonts w:cs="Arial;Helvetica" w:ascii="Arial;Helvetica" w:hAnsi="Arial;Helvetica"/>
          <w:sz w:val="22"/>
        </w:rPr>
      </w:r>
    </w:p>
    <w:p>
      <w:pPr>
        <w:pStyle w:val="Normal"/>
        <w:jc w:val="both"/>
        <w:rPr>
          <w:rFonts w:ascii="Arial;Helvetica" w:hAnsi="Arial;Helvetica" w:cs="Arial;Helvetica"/>
          <w:sz w:val="22"/>
        </w:rPr>
      </w:pPr>
      <w:r>
        <w:rPr>
          <w:rFonts w:cs="Arial;Helvetica" w:ascii="Arial;Helvetica" w:hAnsi="Arial;Helvetica"/>
          <w:sz w:val="22"/>
        </w:rPr>
      </w:r>
    </w:p>
    <w:p>
      <w:pPr>
        <w:pStyle w:val="Normal"/>
        <w:jc w:val="both"/>
        <w:rPr>
          <w:rFonts w:ascii="Arial;Helvetica" w:hAnsi="Arial;Helvetica" w:cs="Arial;Helvetica"/>
          <w:sz w:val="22"/>
        </w:rPr>
      </w:pPr>
      <w:r>
        <w:rPr>
          <w:rFonts w:cs="Arial;Helvetica" w:ascii="Arial;Helvetica" w:hAnsi="Arial;Helvetica"/>
          <w:sz w:val="22"/>
        </w:rPr>
        <w:t>Earl F. Bouse, Jr.</w:t>
      </w:r>
    </w:p>
    <w:p>
      <w:pPr>
        <w:pStyle w:val="Normal"/>
        <w:jc w:val="both"/>
        <w:rPr>
          <w:rFonts w:ascii="Arial;Helvetica" w:hAnsi="Arial;Helvetica" w:cs="Arial;Helvetica"/>
          <w:sz w:val="22"/>
        </w:rPr>
      </w:pPr>
      <w:r>
        <w:rPr>
          <w:rFonts w:cs="Arial;Helvetica" w:ascii="Arial;Helvetica" w:hAnsi="Arial;Helvetica"/>
          <w:sz w:val="22"/>
        </w:rPr>
        <w:t>Vice President, Manufacturing Services</w:t>
      </w:r>
    </w:p>
    <w:p>
      <w:pPr>
        <w:pStyle w:val="Normal"/>
        <w:jc w:val="both"/>
        <w:rPr>
          <w:rFonts w:ascii="Arial;Helvetica" w:hAnsi="Arial;Helvetica" w:cs="Arial;Helvetica"/>
          <w:sz w:val="22"/>
        </w:rPr>
      </w:pPr>
      <w:r>
        <w:rPr>
          <w:rFonts w:cs="Arial;Helvetica" w:ascii="Arial;Helvetica" w:hAnsi="Arial;Helvetica"/>
          <w:sz w:val="22"/>
        </w:rPr>
      </w:r>
    </w:p>
    <w:p>
      <w:pPr>
        <w:pStyle w:val="Normal"/>
        <w:jc w:val="both"/>
        <w:rPr>
          <w:rFonts w:ascii="Arial;Helvetica" w:hAnsi="Arial;Helvetica" w:cs="Arial;Helvetica"/>
          <w:sz w:val="22"/>
        </w:rPr>
      </w:pPr>
      <w:r>
        <w:rPr>
          <w:rFonts w:cs="Arial;Helvetica" w:ascii="Arial;Helvetica" w:hAnsi="Arial;Helvetica"/>
          <w:sz w:val="22"/>
        </w:rPr>
      </w:r>
    </w:p>
    <w:p>
      <w:pPr>
        <w:pStyle w:val="Normal"/>
        <w:jc w:val="both"/>
        <w:rPr>
          <w:rFonts w:ascii="Arial;Helvetica" w:hAnsi="Arial;Helvetica" w:cs="Arial;Helvetica"/>
          <w:sz w:val="20"/>
        </w:rPr>
      </w:pPr>
      <w:r>
        <w:rPr>
          <w:rFonts w:cs="Arial;Helvetica" w:ascii="Arial;Helvetica" w:hAnsi="Arial;Helvetica"/>
          <w:sz w:val="20"/>
        </w:rPr>
        <w:t xml:space="preserve">Enclosures: </w:t>
        <w:tab/>
        <w:t>Hanson Permanente check 099836 in the amount of $731,000.</w:t>
      </w:r>
    </w:p>
    <w:p>
      <w:pPr>
        <w:pStyle w:val="Normal"/>
        <w:jc w:val="both"/>
        <w:rPr>
          <w:rFonts w:ascii="Arial;Helvetica" w:hAnsi="Arial;Helvetica" w:cs="Arial;Helvetica"/>
          <w:sz w:val="20"/>
        </w:rPr>
      </w:pPr>
      <w:r>
        <w:rPr>
          <w:rFonts w:cs="Arial;Helvetica" w:ascii="Arial;Helvetica" w:hAnsi="Arial;Helvetica"/>
          <w:sz w:val="20"/>
        </w:rPr>
        <w:tab/>
        <w:tab/>
        <w:t>Enron Sales Invoice 16298SA in the amount of $730,968.89</w:t>
      </w:r>
    </w:p>
    <w:p>
      <w:pPr>
        <w:pStyle w:val="Normal"/>
        <w:jc w:val="both"/>
        <w:rPr>
          <w:rFonts w:ascii="Arial;Helvetica" w:hAnsi="Arial;Helvetica" w:cs="Arial;Helvetica"/>
          <w:sz w:val="20"/>
        </w:rPr>
      </w:pPr>
      <w:r>
        <w:rPr>
          <w:rFonts w:cs="Arial;Helvetica" w:ascii="Arial;Helvetica" w:hAnsi="Arial;Helvetica"/>
          <w:sz w:val="20"/>
        </w:rPr>
        <w:tab/>
        <w:tab/>
        <w:t>Spreadsheets “Enron Direct Access Electricity 2001 thru 2003 (Exhibits A &amp; B)</w:t>
      </w:r>
    </w:p>
    <w:p>
      <w:pPr>
        <w:pStyle w:val="Normal"/>
        <w:jc w:val="both"/>
        <w:rPr>
          <w:rFonts w:ascii="Arial;Helvetica" w:hAnsi="Arial;Helvetica" w:cs="Arial;Helvetica"/>
          <w:sz w:val="22"/>
        </w:rPr>
      </w:pPr>
      <w:r>
        <w:rPr>
          <w:rFonts w:cs="Arial;Helvetica" w:ascii="Arial;Helvetica" w:hAnsi="Arial;Helvetica"/>
          <w:sz w:val="22"/>
        </w:rPr>
      </w:r>
    </w:p>
    <w:p>
      <w:pPr>
        <w:pStyle w:val="Normal"/>
        <w:jc w:val="both"/>
        <w:rPr/>
      </w:pPr>
      <w:r>
        <w:rPr>
          <w:rFonts w:cs="Arial;Helvetica" w:ascii="Arial;Helvetica" w:hAnsi="Arial;Helvetica"/>
          <w:sz w:val="20"/>
        </w:rPr>
        <w:t>Copies to:</w:t>
      </w:r>
      <w:r>
        <w:rPr>
          <w:rFonts w:cs="Arial;Helvetica" w:ascii="Arial;Helvetica" w:hAnsi="Arial;Helvetica"/>
          <w:sz w:val="22"/>
        </w:rPr>
        <w:tab/>
      </w:r>
      <w:r>
        <w:rPr>
          <w:rFonts w:cs="Arial;Helvetica" w:ascii="Arial;Helvetica" w:hAnsi="Arial;Helvetica"/>
          <w:b/>
          <w:bCs/>
          <w:sz w:val="20"/>
        </w:rPr>
        <w:t>Enron</w:t>
      </w:r>
      <w:r>
        <w:rPr>
          <w:rFonts w:cs="Arial;Helvetica" w:ascii="Arial;Helvetica" w:hAnsi="Arial;Helvetica"/>
          <w:sz w:val="20"/>
        </w:rPr>
        <w:t>:</w:t>
        <w:tab/>
        <w:t>Dave Parquet</w:t>
        <w:tab/>
        <w:tab/>
        <w:tab/>
        <w:tab/>
      </w:r>
      <w:hyperlink r:id="rId2">
        <w:r>
          <w:rPr>
            <w:rStyle w:val="Hyperlink"/>
            <w:rFonts w:cs="Arial;Helvetica" w:ascii="Arial;Helvetica" w:hAnsi="Arial;Helvetica"/>
            <w:sz w:val="20"/>
          </w:rPr>
          <w:t>dparque@enron.com</w:t>
        </w:r>
      </w:hyperlink>
      <w:r>
        <w:rPr>
          <w:rFonts w:cs="Arial;Helvetica" w:ascii="Arial;Helvetica" w:hAnsi="Arial;Helvetica"/>
          <w:sz w:val="20"/>
        </w:rPr>
        <w:t xml:space="preserve"> </w:t>
      </w:r>
    </w:p>
    <w:p>
      <w:pPr>
        <w:pStyle w:val="Normal"/>
        <w:jc w:val="both"/>
        <w:rPr>
          <w:rFonts w:ascii="Arial;Helvetica" w:hAnsi="Arial;Helvetica" w:cs="Arial;Helvetica"/>
          <w:sz w:val="20"/>
          <w:szCs w:val="17"/>
        </w:rPr>
      </w:pPr>
      <w:r>
        <w:rPr>
          <w:rFonts w:cs="Arial;Helvetica" w:ascii="Arial;Helvetica" w:hAnsi="Arial;Helvetica"/>
          <w:sz w:val="20"/>
        </w:rPr>
        <w:tab/>
        <w:tab/>
        <w:tab/>
        <w:t>Caroline Emmert</w:t>
        <w:tab/>
        <w:tab/>
        <w:tab/>
      </w:r>
      <w:hyperlink r:id="rId3">
        <w:r>
          <w:rPr>
            <w:rStyle w:val="Hyperlink"/>
            <w:rFonts w:cs="Arial;Helvetica" w:ascii="Arial;Helvetica" w:hAnsi="Arial;Helvetica"/>
            <w:sz w:val="20"/>
          </w:rPr>
          <w:t>Caroline.Emmert@Enron.com</w:t>
        </w:r>
      </w:hyperlink>
      <w:r>
        <w:rPr>
          <w:rFonts w:cs="Arial;Helvetica" w:ascii="Arial;Helvetica" w:hAnsi="Arial;Helvetica"/>
          <w:sz w:val="20"/>
        </w:rPr>
        <w:t xml:space="preserve"> </w:t>
      </w:r>
    </w:p>
    <w:p>
      <w:pPr>
        <w:pStyle w:val="Normal"/>
        <w:jc w:val="both"/>
        <w:rPr/>
      </w:pPr>
      <w:r>
        <w:rPr>
          <w:rFonts w:cs="Arial;Helvetica" w:ascii="Arial;Helvetica" w:hAnsi="Arial;Helvetica"/>
          <w:sz w:val="20"/>
          <w:szCs w:val="17"/>
        </w:rPr>
        <w:tab/>
        <w:tab/>
        <w:tab/>
        <w:t>Lisa Gang</w:t>
        <w:tab/>
        <w:tab/>
        <w:tab/>
        <w:tab/>
      </w:r>
      <w:hyperlink r:id="rId4">
        <w:r>
          <w:rPr>
            <w:rStyle w:val="Hyperlink"/>
            <w:rFonts w:cs="Arial;Helvetica" w:ascii="Arial;Helvetica" w:hAnsi="Arial;Helvetica"/>
            <w:sz w:val="20"/>
            <w:szCs w:val="17"/>
          </w:rPr>
          <w:t>Lisa.Gang@Enron.com</w:t>
        </w:r>
      </w:hyperlink>
      <w:r>
        <w:rPr>
          <w:rFonts w:cs="Arial;Helvetica" w:ascii="Arial;Helvetica" w:hAnsi="Arial;Helvetica"/>
          <w:sz w:val="20"/>
          <w:szCs w:val="17"/>
        </w:rPr>
        <w:t xml:space="preserve"> </w:t>
      </w:r>
    </w:p>
    <w:p>
      <w:pPr>
        <w:pStyle w:val="Normal"/>
        <w:jc w:val="both"/>
        <w:rPr>
          <w:rFonts w:ascii="Arial;Helvetica" w:hAnsi="Arial;Helvetica" w:cs="Arial;Helvetica"/>
          <w:sz w:val="20"/>
          <w:szCs w:val="17"/>
        </w:rPr>
      </w:pPr>
      <w:r>
        <w:rPr>
          <w:rFonts w:cs="Arial;Helvetica" w:ascii="Arial;Helvetica" w:hAnsi="Arial;Helvetica"/>
          <w:sz w:val="20"/>
          <w:szCs w:val="17"/>
        </w:rPr>
        <w:tab/>
        <w:tab/>
        <w:tab/>
        <w:t>Murray O’Neil</w:t>
        <w:tab/>
        <w:tab/>
        <w:tab/>
        <w:tab/>
        <w:t xml:space="preserve">Murray.P.O’Neil@Enron.com </w:t>
      </w:r>
    </w:p>
    <w:p>
      <w:pPr>
        <w:pStyle w:val="Normal"/>
        <w:jc w:val="both"/>
        <w:rPr>
          <w:rFonts w:ascii="Arial;Helvetica" w:hAnsi="Arial;Helvetica" w:cs="Arial;Helvetica"/>
          <w:sz w:val="20"/>
          <w:szCs w:val="17"/>
        </w:rPr>
      </w:pPr>
      <w:r>
        <w:rPr>
          <w:rFonts w:cs="Arial;Helvetica" w:ascii="Arial;Helvetica" w:hAnsi="Arial;Helvetica"/>
          <w:sz w:val="20"/>
          <w:szCs w:val="17"/>
        </w:rPr>
      </w:r>
    </w:p>
    <w:p>
      <w:pPr>
        <w:pStyle w:val="Normal"/>
        <w:jc w:val="both"/>
        <w:rPr>
          <w:rFonts w:ascii="Arial;Helvetica" w:hAnsi="Arial;Helvetica" w:cs="Arial;Helvetica"/>
          <w:sz w:val="20"/>
        </w:rPr>
      </w:pPr>
      <w:r>
        <w:rPr>
          <w:rFonts w:cs="Arial;Helvetica" w:ascii="Arial;Helvetica" w:hAnsi="Arial;Helvetica"/>
          <w:sz w:val="20"/>
        </w:rPr>
        <w:tab/>
        <w:tab/>
        <w:t>William H. Booth, Esq.</w:t>
        <w:tab/>
        <w:tab/>
        <w:tab/>
        <w:tab/>
      </w:r>
      <w:hyperlink r:id="rId5">
        <w:r>
          <w:rPr>
            <w:rStyle w:val="Hyperlink"/>
            <w:rFonts w:cs="Arial;Helvetica" w:ascii="Arial;Helvetica" w:hAnsi="Arial;Helvetica"/>
            <w:sz w:val="20"/>
          </w:rPr>
          <w:t>wbooth@booth-law.com</w:t>
        </w:r>
      </w:hyperlink>
    </w:p>
    <w:p>
      <w:pPr>
        <w:pStyle w:val="Normal"/>
        <w:jc w:val="both"/>
        <w:rPr/>
      </w:pPr>
      <w:r>
        <w:rPr>
          <w:rFonts w:cs="Arial;Helvetica" w:ascii="Arial;Helvetica" w:hAnsi="Arial;Helvetica"/>
          <w:sz w:val="20"/>
        </w:rPr>
        <w:tab/>
        <w:tab/>
        <w:t>Dr. Barbara Barkovich</w:t>
        <w:tab/>
        <w:tab/>
        <w:tab/>
        <w:tab/>
      </w:r>
      <w:hyperlink r:id="rId6">
        <w:r>
          <w:rPr>
            <w:rStyle w:val="Hyperlink"/>
            <w:rFonts w:cs="Arial;Helvetica" w:ascii="Arial;Helvetica" w:hAnsi="Arial;Helvetica"/>
            <w:sz w:val="20"/>
          </w:rPr>
          <w:t>brbarkovich@earthlink.net</w:t>
        </w:r>
      </w:hyperlink>
      <w:r>
        <w:rPr>
          <w:rFonts w:cs="Arial;Helvetica" w:ascii="Arial;Helvetica" w:hAnsi="Arial;Helvetica"/>
          <w:sz w:val="20"/>
        </w:rPr>
        <w:t xml:space="preserve"> </w:t>
      </w:r>
    </w:p>
    <w:p>
      <w:pPr>
        <w:pStyle w:val="Normal"/>
        <w:jc w:val="both"/>
        <w:rPr>
          <w:rFonts w:ascii="Arial;Helvetica" w:hAnsi="Arial;Helvetica" w:cs="Arial;Helvetica"/>
          <w:sz w:val="20"/>
        </w:rPr>
      </w:pPr>
      <w:r>
        <w:rPr>
          <w:rFonts w:cs="Arial;Helvetica" w:ascii="Arial;Helvetica" w:hAnsi="Arial;Helvetica"/>
          <w:sz w:val="20"/>
        </w:rPr>
      </w:r>
    </w:p>
    <w:p>
      <w:pPr>
        <w:pStyle w:val="Normal"/>
        <w:jc w:val="both"/>
        <w:rPr/>
      </w:pPr>
      <w:r>
        <w:rPr>
          <w:rFonts w:cs="Arial;Helvetica" w:ascii="Arial;Helvetica" w:hAnsi="Arial;Helvetica"/>
          <w:sz w:val="20"/>
        </w:rPr>
        <w:tab/>
        <w:tab/>
      </w:r>
      <w:r>
        <w:rPr>
          <w:rFonts w:cs="Arial;Helvetica" w:ascii="Arial;Helvetica" w:hAnsi="Arial;Helvetica"/>
          <w:b/>
          <w:bCs/>
          <w:sz w:val="20"/>
        </w:rPr>
        <w:t>Hanson Permanente Cement</w:t>
      </w:r>
      <w:r>
        <w:rPr>
          <w:rFonts w:cs="Arial;Helvetica" w:ascii="Arial;Helvetica" w:hAnsi="Arial;Helvetica"/>
          <w:sz w:val="20"/>
        </w:rPr>
        <w:t>:</w:t>
        <w:tab/>
      </w:r>
    </w:p>
    <w:p>
      <w:pPr>
        <w:pStyle w:val="Normal"/>
        <w:ind w:firstLine="720" w:end="0"/>
        <w:jc w:val="both"/>
        <w:rPr>
          <w:rFonts w:ascii="Arial;Helvetica" w:hAnsi="Arial;Helvetica" w:cs="Arial;Helvetica"/>
          <w:sz w:val="20"/>
        </w:rPr>
      </w:pPr>
      <w:r>
        <w:rPr>
          <w:rFonts w:cs="Arial;Helvetica" w:ascii="Arial;Helvetica" w:hAnsi="Arial;Helvetica"/>
          <w:sz w:val="20"/>
        </w:rPr>
        <w:tab/>
        <w:tab/>
        <w:t>Stewart Smith</w:t>
        <w:tab/>
        <w:tab/>
        <w:t>Brad Carson</w:t>
        <w:tab/>
        <w:tab/>
        <w:t>Peter Russo</w:t>
      </w:r>
    </w:p>
    <w:p>
      <w:pPr>
        <w:pStyle w:val="Normal"/>
        <w:ind w:firstLine="720" w:start="1440" w:end="0"/>
        <w:jc w:val="both"/>
        <w:rPr>
          <w:rFonts w:ascii="Arial;Helvetica" w:hAnsi="Arial;Helvetica" w:cs="Arial;Helvetica"/>
          <w:sz w:val="20"/>
        </w:rPr>
      </w:pPr>
      <w:r>
        <w:rPr>
          <w:rFonts w:cs="Arial;Helvetica" w:ascii="Arial;Helvetica" w:hAnsi="Arial;Helvetica"/>
          <w:sz w:val="20"/>
        </w:rPr>
        <w:t>Jim Wallmann</w:t>
        <w:tab/>
        <w:tab/>
        <w:t>Mike Miller</w:t>
        <w:tab/>
        <w:tab/>
        <w:t>Beverly Daniels</w:t>
      </w:r>
    </w:p>
    <w:sectPr>
      <w:headerReference w:type="default" r:id="rId7"/>
      <w:headerReference w:type="first" r:id="rId8"/>
      <w:type w:val="nextPage"/>
      <w:pgSz w:w="12240" w:h="15840"/>
      <w:pgMar w:left="1440" w:right="1008" w:gutter="0" w:header="1440" w:top="1496"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Arial">
    <w:altName w:val="Helvetica"/>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Helvetica" w:hAnsi="Arial;Helvetica" w:cs="Arial;Helvetica"/>
        <w:sz w:val="22"/>
      </w:rPr>
    </w:pPr>
    <w:r>
      <w:rPr>
        <w:rFonts w:cs="Arial;Helvetica" w:ascii="Arial;Helvetica" w:hAnsi="Arial;Helvetica"/>
        <w:sz w:val="22"/>
      </w:rPr>
      <w:t>Ms. Gwen Williams</w:t>
    </w:r>
  </w:p>
  <w:p>
    <w:pPr>
      <w:pStyle w:val="Header"/>
      <w:rPr>
        <w:rFonts w:ascii="Arial;Helvetica" w:hAnsi="Arial;Helvetica" w:cs="Arial;Helvetica"/>
        <w:sz w:val="22"/>
      </w:rPr>
    </w:pPr>
    <w:r>
      <w:rPr>
        <w:rFonts w:cs="Arial;Helvetica" w:ascii="Arial;Helvetica" w:hAnsi="Arial;Helvetica"/>
        <w:b/>
        <w:bCs/>
        <w:sz w:val="22"/>
      </w:rPr>
      <w:t>Enron Power Marketing, Inc.</w:t>
    </w:r>
  </w:p>
  <w:p>
    <w:pPr>
      <w:pStyle w:val="Header"/>
      <w:rPr>
        <w:rFonts w:ascii="Arial;Helvetica" w:hAnsi="Arial;Helvetica" w:cs="Arial;Helvetica"/>
        <w:sz w:val="22"/>
      </w:rPr>
    </w:pPr>
    <w:r>
      <w:rPr>
        <w:rFonts w:cs="Arial;Helvetica" w:ascii="Arial;Helvetica" w:hAnsi="Arial;Helvetica"/>
        <w:sz w:val="22"/>
      </w:rPr>
      <w:t>June 12, 2002</w:t>
    </w:r>
  </w:p>
  <w:p>
    <w:pPr>
      <w:pStyle w:val="Header"/>
      <w:pBdr>
        <w:bottom w:val="single" w:sz="4" w:space="1" w:color="000000"/>
      </w:pBdr>
      <w:rPr>
        <w:rFonts w:ascii="Arial;Helvetica" w:hAnsi="Arial;Helvetica" w:cs="Arial;Helvetica"/>
        <w:sz w:val="22"/>
      </w:rPr>
    </w:pPr>
    <w:r>
      <w:rPr>
        <w:rFonts w:cs="Arial;Helvetica" w:ascii="Arial;Helvetica" w:hAnsi="Arial;Helvetica"/>
        <w:sz w:val="22"/>
      </w:rPr>
      <w:t xml:space="preserve">Page </w:t>
    </w:r>
    <w:r>
      <w:rPr>
        <w:rFonts w:cs="Arial;Helvetica" w:ascii="Arial;Helvetica" w:hAnsi="Arial;Helvetica"/>
        <w:sz w:val="22"/>
      </w:rPr>
      <w:fldChar w:fldCharType="begin"/>
    </w:r>
    <w:r>
      <w:rPr>
        <w:sz w:val="22"/>
        <w:rFonts w:cs="Arial;Helvetica" w:ascii="Arial;Helvetica" w:hAnsi="Arial;Helvetica"/>
      </w:rPr>
      <w:instrText xml:space="preserve"> PAGE </w:instrText>
    </w:r>
    <w:r>
      <w:rPr>
        <w:sz w:val="22"/>
        <w:rFonts w:cs="Arial;Helvetica" w:ascii="Arial;Helvetica" w:hAnsi="Arial;Helvetica"/>
      </w:rPr>
      <w:fldChar w:fldCharType="separate"/>
    </w:r>
    <w:r>
      <w:rPr>
        <w:sz w:val="22"/>
        <w:rFonts w:cs="Arial;Helvetica" w:ascii="Arial;Helvetica" w:hAnsi="Arial;Helvetica"/>
      </w:rPr>
      <w:t>2</w:t>
    </w:r>
    <w:r>
      <w:rPr>
        <w:sz w:val="22"/>
        <w:rFonts w:cs="Arial;Helvetica" w:ascii="Arial;Helvetica" w:hAnsi="Arial;Helvetica"/>
      </w:rPr>
      <w:fldChar w:fldCharType="end"/>
    </w:r>
    <w:r>
      <w:rPr>
        <w:rFonts w:cs="Arial;Helvetica" w:ascii="Arial;Helvetica" w:hAnsi="Arial;Helvetica"/>
        <w:sz w:val="22"/>
      </w:rPr>
      <w:t xml:space="preserve"> of </w:t>
    </w:r>
    <w:r>
      <w:rPr>
        <w:rFonts w:cs="Arial;Helvetica" w:ascii="Arial;Helvetica" w:hAnsi="Arial;Helvetica"/>
        <w:sz w:val="22"/>
      </w:rPr>
      <w:fldChar w:fldCharType="begin"/>
    </w:r>
    <w:r>
      <w:rPr>
        <w:sz w:val="22"/>
        <w:rFonts w:cs="Arial;Helvetica" w:ascii="Arial;Helvetica" w:hAnsi="Arial;Helvetica"/>
      </w:rPr>
      <w:instrText xml:space="preserve"> NUMPAGES \* ARABIC </w:instrText>
    </w:r>
    <w:r>
      <w:rPr>
        <w:sz w:val="22"/>
        <w:rFonts w:cs="Arial;Helvetica" w:ascii="Arial;Helvetica" w:hAnsi="Arial;Helvetica"/>
      </w:rPr>
      <w:fldChar w:fldCharType="separate"/>
    </w:r>
    <w:r>
      <w:rPr>
        <w:sz w:val="22"/>
        <w:rFonts w:cs="Arial;Helvetica" w:ascii="Arial;Helvetica" w:hAnsi="Arial;Helvetica"/>
      </w:rPr>
      <w:t>2</w:t>
    </w:r>
    <w:r>
      <w:rPr>
        <w:sz w:val="22"/>
        <w:rFonts w:cs="Arial;Helvetica" w:ascii="Arial;Helvetica" w:hAnsi="Arial;Helvetica"/>
      </w:rPr>
      <w:fldChar w:fldCharType="end"/>
    </w:r>
  </w:p>
  <w:p>
    <w:pPr>
      <w:pStyle w:val="Header"/>
      <w:rPr>
        <w:rFonts w:ascii="Arial;Helvetica" w:hAnsi="Arial;Helvetica" w:cs="Arial;Helvetica"/>
        <w:sz w:val="22"/>
      </w:rPr>
    </w:pPr>
    <w:r>
      <w:rPr>
        <w:rFonts w:cs="Arial;Helvetica" w:ascii="Arial;Helvetica" w:hAnsi="Arial;Helvetica"/>
        <w:sz w:val="22"/>
      </w:rPr>
    </w:r>
  </w:p>
  <w:p>
    <w:pPr>
      <w:pStyle w:val="Header"/>
      <w:rPr>
        <w:rFonts w:ascii="Arial;Helvetica" w:hAnsi="Arial;Helvetica" w:eastAsia="Arial;Helvetica" w:cs="Arial;Helvetica"/>
        <w:b/>
        <w:bCs/>
      </w:rPr>
    </w:pPr>
    <w:r>
      <w:rPr>
        <w:rFonts w:eastAsia="Arial;Helvetica" w:cs="Arial;Helvetica" w:ascii="Arial;Helvetica" w:hAnsi="Arial;Helvetica"/>
        <w:b/>
        <w:bCs/>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 w:hAnsi="CG Times" w:eastAsia="Times New Roman;Times New Roman" w:cs="CG Times"/>
      <w:color w:val="auto"/>
      <w:sz w:val="24"/>
      <w:szCs w:val="20"/>
      <w:lang w:val="en-US" w:bidi="ar-SA" w:eastAsia="zh-CN"/>
    </w:rPr>
  </w:style>
  <w:style w:type="paragraph" w:styleId="Heading1">
    <w:name w:val="heading 1"/>
    <w:basedOn w:val="Normal"/>
    <w:next w:val="Normal"/>
    <w:qFormat/>
    <w:pPr>
      <w:keepNext w:val="true"/>
      <w:numPr>
        <w:ilvl w:val="0"/>
        <w:numId w:val="1"/>
      </w:numPr>
      <w:ind w:firstLine="720" w:start="2160" w:end="0"/>
      <w:outlineLvl w:val="0"/>
    </w:pPr>
    <w:rPr>
      <w:rFonts w:ascii="Arial;Helvetica" w:hAnsi="Arial;Helvetica" w:cs="Arial;Helvetica"/>
      <w:b/>
    </w:rPr>
  </w:style>
  <w:style w:type="paragraph" w:styleId="Heading2">
    <w:name w:val="heading 2"/>
    <w:basedOn w:val="Normal"/>
    <w:next w:val="Normal"/>
    <w:qFormat/>
    <w:pPr>
      <w:keepNext w:val="true"/>
      <w:numPr>
        <w:ilvl w:val="1"/>
        <w:numId w:val="1"/>
      </w:numPr>
      <w:jc w:val="both"/>
      <w:outlineLvl w:val="1"/>
    </w:pPr>
    <w:rPr>
      <w:rFonts w:ascii="Arial;Helvetica" w:hAnsi="Arial;Helvetica" w:cs="Arial;Helvetica"/>
      <w:b/>
      <w:i/>
      <w:iCs/>
      <w:sz w:val="18"/>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Helvetica" w:hAnsi="Arial;Helvetica" w:cs="Arial;Helvetica"/>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rFonts w:ascii="Arial;Helvetica" w:hAnsi="Arial;Helvetica" w:cs="Arial;Helvetica"/>
      <w:sz w:val="18"/>
    </w:rPr>
  </w:style>
  <w:style w:type="paragraph" w:styleId="BodyText2">
    <w:name w:val="Body Text 2"/>
    <w:basedOn w:val="Normal"/>
    <w:qFormat/>
    <w:pPr>
      <w:jc w:val="both"/>
    </w:pPr>
    <w:rPr>
      <w:rFonts w:ascii="Arial;Helvetica" w:hAnsi="Arial;Helvetica" w:cs="Arial;Helvetica"/>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arque@enron.com" TargetMode="External"/><Relationship Id="rId3" Type="http://schemas.openxmlformats.org/officeDocument/2006/relationships/hyperlink" Target="mailto:Caroline.Emmert@Enron.com" TargetMode="External"/><Relationship Id="rId4" Type="http://schemas.openxmlformats.org/officeDocument/2006/relationships/hyperlink" Target="mailto:Lisa.Gang@Enron.com" TargetMode="External"/><Relationship Id="rId5" Type="http://schemas.openxmlformats.org/officeDocument/2006/relationships/hyperlink" Target="mailto:wbooth@booth-law.com" TargetMode="External"/><Relationship Id="rId6" Type="http://schemas.openxmlformats.org/officeDocument/2006/relationships/hyperlink" Target="mailto:brbarkovich@earthlink.net"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2002-06-12T14:24:00Z</dcterms:created>
  <dc:creator>Earl Big Bopper Bouse</dc:creator>
  <dc:description/>
  <dc:language>en-CA</dc:language>
  <cp:lastModifiedBy>Hanson Aggregates Mid-Pacific Region</cp:lastModifiedBy>
  <cp:lastPrinted>2002-06-12T09:42:00Z</cp:lastPrinted>
  <dcterms:modified xsi:type="dcterms:W3CDTF">2002-06-12T14:24:00Z</dcterms:modified>
  <cp:revision>2</cp:revision>
  <dc:subject/>
  <dc:title>April 20, 1999</dc:title>
</cp:coreProperties>
</file>