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Via Federal Express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April 9, 2002</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Ms. Gwen Williams</w:t>
      </w:r>
      <w:r>
        <w:rPr>
          <w:rFonts w:cs="Arial" w:ascii="Arial" w:hAnsi="Arial"/>
        </w:rPr>
        <w:tab/>
      </w:r>
      <w:r>
        <w:rPr>
          <w:rFonts w:cs="Arial" w:ascii="Arial" w:hAnsi="Arial"/>
          <w:sz w:val="18"/>
        </w:rPr>
        <w:t xml:space="preserve">  </w:t>
      </w:r>
      <w:r>
        <w:rPr>
          <w:rFonts w:cs="Arial" w:ascii="Arial" w:hAnsi="Arial"/>
          <w:b/>
          <w:bCs/>
          <w:i/>
          <w:iCs/>
          <w:sz w:val="16"/>
        </w:rPr>
        <w:t>Phone Number (713) 853-6488</w:t>
      </w:r>
    </w:p>
    <w:p>
      <w:pPr>
        <w:pStyle w:val="Normal"/>
        <w:jc w:val="both"/>
        <w:rPr>
          <w:rFonts w:ascii="Arial" w:hAnsi="Arial" w:cs="Arial"/>
          <w:sz w:val="22"/>
        </w:rPr>
      </w:pPr>
      <w:r>
        <w:rPr>
          <w:rFonts w:cs="Arial" w:ascii="Arial" w:hAnsi="Arial"/>
          <w:b/>
          <w:sz w:val="22"/>
        </w:rPr>
        <w:t xml:space="preserve">Enron Power Marketing, Inc. </w:t>
      </w:r>
    </w:p>
    <w:p>
      <w:pPr>
        <w:pStyle w:val="Normal"/>
        <w:jc w:val="both"/>
        <w:rPr>
          <w:rFonts w:ascii="Arial" w:hAnsi="Arial" w:cs="Arial"/>
          <w:sz w:val="22"/>
        </w:rPr>
      </w:pPr>
      <w:r>
        <w:rPr>
          <w:rFonts w:cs="Arial" w:ascii="Arial" w:hAnsi="Arial"/>
          <w:sz w:val="22"/>
        </w:rPr>
        <w:t>1400 Smith Street</w:t>
      </w:r>
    </w:p>
    <w:p>
      <w:pPr>
        <w:pStyle w:val="Normal"/>
        <w:jc w:val="both"/>
        <w:rPr>
          <w:rFonts w:ascii="Arial" w:hAnsi="Arial" w:cs="Arial"/>
          <w:sz w:val="22"/>
        </w:rPr>
      </w:pPr>
      <w:r>
        <w:rPr>
          <w:rFonts w:cs="Arial" w:ascii="Arial" w:hAnsi="Arial"/>
          <w:sz w:val="22"/>
        </w:rPr>
        <w:t>Houston, TX 77002</w:t>
      </w:r>
    </w:p>
    <w:p>
      <w:pPr>
        <w:pStyle w:val="Normal"/>
        <w:jc w:val="both"/>
        <w:rPr>
          <w:rFonts w:ascii="Arial" w:hAnsi="Arial" w:cs="Arial"/>
          <w:sz w:val="22"/>
        </w:rPr>
      </w:pPr>
      <w:r>
        <w:rPr>
          <w:rFonts w:cs="Arial" w:ascii="Arial" w:hAnsi="Arial"/>
          <w:sz w:val="22"/>
        </w:rPr>
      </w:r>
    </w:p>
    <w:p>
      <w:pPr>
        <w:pStyle w:val="Normal"/>
        <w:tabs>
          <w:tab w:val="clear" w:pos="720"/>
          <w:tab w:val="left" w:pos="-1440" w:leader="none"/>
        </w:tabs>
        <w:ind w:hanging="720" w:start="720" w:end="0"/>
        <w:jc w:val="both"/>
        <w:rPr>
          <w:rFonts w:ascii="Arial" w:hAnsi="Arial" w:cs="Arial"/>
          <w:b/>
          <w:sz w:val="18"/>
        </w:rPr>
      </w:pPr>
      <w:r>
        <w:rPr>
          <w:rFonts w:cs="Arial" w:ascii="Arial" w:hAnsi="Arial"/>
          <w:b/>
          <w:sz w:val="18"/>
        </w:rPr>
        <w:t>RE:</w:t>
        <w:tab/>
        <w:t>Hanson Permanente Cement's  Enron Invoice 16081SA8.</w:t>
      </w:r>
    </w:p>
    <w:p>
      <w:pPr>
        <w:pStyle w:val="Normal"/>
        <w:numPr>
          <w:ilvl w:val="0"/>
          <w:numId w:val="0"/>
        </w:numPr>
        <w:ind w:firstLine="720" w:end="0"/>
        <w:jc w:val="both"/>
        <w:outlineLvl w:val="0"/>
        <w:rPr>
          <w:rFonts w:ascii="Arial" w:hAnsi="Arial" w:cs="Arial"/>
          <w:sz w:val="18"/>
        </w:rPr>
      </w:pPr>
      <w:r>
        <w:rPr>
          <w:rFonts w:cs="Arial" w:ascii="Arial" w:hAnsi="Arial"/>
          <w:b/>
          <w:sz w:val="18"/>
        </w:rPr>
        <w:t>Electrical Power – Contract No: 95001154.</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Ms. Williams:</w:t>
      </w:r>
    </w:p>
    <w:p>
      <w:pPr>
        <w:pStyle w:val="Normal"/>
        <w:jc w:val="both"/>
        <w:rPr>
          <w:rFonts w:ascii="Arial" w:hAnsi="Arial" w:cs="Arial"/>
          <w:sz w:val="22"/>
        </w:rPr>
      </w:pPr>
      <w:r>
        <w:rPr>
          <w:rFonts w:cs="Arial" w:ascii="Arial" w:hAnsi="Arial"/>
          <w:sz w:val="22"/>
        </w:rPr>
      </w:r>
    </w:p>
    <w:p>
      <w:pPr>
        <w:pStyle w:val="BodyText2"/>
        <w:rPr/>
      </w:pPr>
      <w:r>
        <w:rPr/>
        <w:t>Enclosed is Hanson Permanente Cement’s check number 098740 dated April 4, 2002 in the amount of $740,000.00 in payment of the undisputed amount of the subject invoice.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Section 2.8 of the Enron Master Electric Energy Services and Sales Agreement (Agreement) allows disputed payments as long as a written explanation is provided and payment of the undisputed portion is paid by the due date. The $740,000 is Hanson’s good faith estimate of the undisputed amount. Hanson’s “written explanation specifying the dispute” follows:</w:t>
      </w:r>
    </w:p>
    <w:p>
      <w:pPr>
        <w:pStyle w:val="Normal"/>
        <w:jc w:val="both"/>
        <w:rPr>
          <w:rFonts w:ascii="Arial" w:hAnsi="Arial" w:cs="Arial"/>
          <w:sz w:val="22"/>
        </w:rPr>
      </w:pPr>
      <w:r>
        <w:rPr>
          <w:rFonts w:cs="Arial" w:ascii="Arial" w:hAnsi="Arial"/>
          <w:sz w:val="22"/>
        </w:rPr>
      </w:r>
    </w:p>
    <w:p>
      <w:pPr>
        <w:pStyle w:val="BodyTextIndent"/>
        <w:ind w:start="0" w:end="0"/>
        <w:rPr/>
      </w:pPr>
      <w:r>
        <w:rPr/>
        <w:t xml:space="preserve">The Agreement calls for Scheduling Ahead by the cement plant, and Enron buys and sells power to balance the account. When Enron declared bankruptcy, Enron was no longer able to trade in open markets. Specifically, in February 2002, Enron balanced the account with sales to the California Independent System Operator (ISO). The ISO does not provide records of those sales for 90 days, so Enron incorrectly charged the entire schedule from the contract in February without any offset for actual usage. Enron’s “pattern” for this Agreement is from the year 2000. In February 2000, Hanson’s performed their regular winter maintenance shutdown. However, in 2002, Hanson performed their winter maintenance in January and operated February. The enclosed spreadsheet illustrates the method of payment for this month. The spreadsheet utilizes an estimate for kilowatt usage, and multiplies that usage times $0.0490. (Contract rate: $0.0432 plus $0.0058 ISO settlement estimate equals $0.0490.) The next step is to consider past payments to Enron against actual kilowatt usage from Pacific Gas &amp; Electric, and then to calculate a check amount that brings the total paid to date to approximate the “True Up Estimate” column on the spreadsheet – column nine.  Per the Agreement, we need to “true-up” the billing on a quarterly basis. All of the invoices received are  “incorrect” as the enclosed spreadsheet illustrates; e.g., note the differences between the total kilowatts used as reported by Pacific Gas &amp; Electric and Enron. </w:t>
      </w:r>
    </w:p>
    <w:p>
      <w:pPr>
        <w:pStyle w:val="Normal"/>
        <w:jc w:val="both"/>
        <w:rPr>
          <w:rFonts w:ascii="Arial" w:hAnsi="Arial" w:cs="Arial"/>
          <w:sz w:val="22"/>
        </w:rPr>
      </w:pPr>
      <w:r>
        <w:rPr>
          <w:rFonts w:cs="Arial" w:ascii="Arial" w:hAnsi="Arial"/>
          <w:sz w:val="22"/>
        </w:rPr>
      </w:r>
      <w:bookmarkStart w:id="0" w:name="QuickMark"/>
      <w:bookmarkStart w:id="1" w:name="QuickMark"/>
      <w:bookmarkEnd w:id="1"/>
    </w:p>
    <w:p>
      <w:pPr>
        <w:pStyle w:val="Normal"/>
        <w:numPr>
          <w:ilvl w:val="0"/>
          <w:numId w:val="0"/>
        </w:numPr>
        <w:jc w:val="both"/>
        <w:outlineLvl w:val="0"/>
        <w:rPr>
          <w:rFonts w:ascii="Arial" w:hAnsi="Arial" w:cs="Arial"/>
          <w:sz w:val="22"/>
        </w:rPr>
      </w:pPr>
      <w:r>
        <w:rPr>
          <w:rFonts w:cs="Arial" w:ascii="Arial" w:hAnsi="Arial"/>
          <w:sz w:val="22"/>
        </w:rPr>
        <w:t>We have received Hanson ISO Settlements for November &amp; December 2001, and January 2002 from Enron’s Portland office. We will be working with the Portland office to establish a method and the timing for this quarterly “true-up.”  I can be reached  at (925) 426-4084 if you have any questions.</w:t>
      </w:r>
    </w:p>
    <w:p>
      <w:pPr>
        <w:pStyle w:val="Normal"/>
        <w:jc w:val="both"/>
        <w:rPr>
          <w:rFonts w:ascii="Arial" w:hAnsi="Arial" w:cs="Arial"/>
          <w:sz w:val="22"/>
        </w:rPr>
      </w:pPr>
      <w:r>
        <w:rPr>
          <w:rFonts w:cs="Arial" w:ascii="Arial" w:hAnsi="Arial"/>
          <w:sz w:val="22"/>
        </w:rPr>
      </w:r>
    </w:p>
    <w:p>
      <w:pPr>
        <w:pStyle w:val="Normal"/>
        <w:numPr>
          <w:ilvl w:val="0"/>
          <w:numId w:val="0"/>
        </w:numPr>
        <w:jc w:val="both"/>
        <w:outlineLvl w:val="0"/>
        <w:rPr>
          <w:rFonts w:ascii="Arial" w:hAnsi="Arial" w:cs="Arial"/>
          <w:sz w:val="22"/>
        </w:rPr>
      </w:pPr>
      <w:r>
        <w:rPr>
          <w:rFonts w:cs="Arial" w:ascii="Arial" w:hAnsi="Arial"/>
          <w:sz w:val="22"/>
        </w:rPr>
        <w:t>Sincerely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Earl F. Bouse, Jr.</w:t>
      </w:r>
    </w:p>
    <w:p>
      <w:pPr>
        <w:pStyle w:val="Normal"/>
        <w:jc w:val="both"/>
        <w:rPr>
          <w:rFonts w:ascii="Arial" w:hAnsi="Arial" w:cs="Arial"/>
          <w:sz w:val="22"/>
        </w:rPr>
      </w:pPr>
      <w:r>
        <w:rPr>
          <w:rFonts w:cs="Arial" w:ascii="Arial" w:hAnsi="Arial"/>
          <w:sz w:val="22"/>
        </w:rPr>
        <w:t>Vice President, Manufacturing Services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0"/>
        </w:rPr>
      </w:pPr>
      <w:r>
        <w:rPr>
          <w:rFonts w:cs="Arial" w:ascii="Arial" w:hAnsi="Arial"/>
          <w:sz w:val="20"/>
        </w:rPr>
        <w:t xml:space="preserve">Enclosures: </w:t>
        <w:tab/>
        <w:t>Hanson Permanente check 098470 in the amount of $740,000.</w:t>
      </w:r>
    </w:p>
    <w:p>
      <w:pPr>
        <w:pStyle w:val="Normal"/>
        <w:jc w:val="both"/>
        <w:rPr>
          <w:rFonts w:ascii="Arial" w:hAnsi="Arial" w:cs="Arial"/>
          <w:sz w:val="20"/>
        </w:rPr>
      </w:pPr>
      <w:r>
        <w:rPr>
          <w:rFonts w:cs="Arial" w:ascii="Arial" w:hAnsi="Arial"/>
          <w:sz w:val="20"/>
        </w:rPr>
        <w:tab/>
        <w:tab/>
        <w:t xml:space="preserve">Spreadsheet: “Enron Direct Access Electricity 2001 thru 2003.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0"/>
        </w:rPr>
        <w:t>Copies to:</w:t>
      </w:r>
      <w:r>
        <w:rPr>
          <w:rFonts w:cs="Arial" w:ascii="Arial" w:hAnsi="Arial"/>
          <w:sz w:val="22"/>
        </w:rPr>
        <w:tab/>
      </w:r>
      <w:r>
        <w:rPr>
          <w:rFonts w:cs="Arial" w:ascii="Arial" w:hAnsi="Arial"/>
          <w:b/>
          <w:bCs/>
          <w:sz w:val="20"/>
        </w:rPr>
        <w:t>Enron</w:t>
      </w:r>
      <w:r>
        <w:rPr>
          <w:rFonts w:cs="Arial" w:ascii="Arial" w:hAnsi="Arial"/>
          <w:sz w:val="20"/>
        </w:rPr>
        <w:t>:</w:t>
        <w:tab/>
        <w:t>Dave Parquet</w:t>
        <w:tab/>
        <w:tab/>
        <w:tab/>
        <w:t>:</w:t>
        <w:tab/>
      </w:r>
      <w:hyperlink r:id="rId2">
        <w:r>
          <w:rPr>
            <w:rStyle w:val="Hyperlink"/>
            <w:rFonts w:cs="Arial" w:ascii="Arial" w:hAnsi="Arial"/>
            <w:sz w:val="20"/>
          </w:rPr>
          <w:t>dparque@enron.com</w:t>
        </w:r>
      </w:hyperlink>
      <w:r>
        <w:rPr>
          <w:rFonts w:cs="Arial" w:ascii="Arial" w:hAnsi="Arial"/>
          <w:sz w:val="20"/>
        </w:rPr>
        <w:t xml:space="preserve"> </w:t>
      </w:r>
    </w:p>
    <w:p>
      <w:pPr>
        <w:pStyle w:val="Normal"/>
        <w:jc w:val="both"/>
        <w:rPr>
          <w:rFonts w:ascii="Arial" w:hAnsi="Arial" w:cs="Arial"/>
          <w:sz w:val="20"/>
          <w:szCs w:val="17"/>
        </w:rPr>
      </w:pPr>
      <w:r>
        <w:rPr>
          <w:rFonts w:cs="Arial" w:ascii="Arial" w:hAnsi="Arial"/>
          <w:sz w:val="20"/>
        </w:rPr>
        <w:tab/>
        <w:tab/>
        <w:tab/>
        <w:t>Caroline Emmert</w:t>
        <w:tab/>
        <w:tab/>
        <w:tab/>
      </w:r>
      <w:hyperlink r:id="rId3">
        <w:r>
          <w:rPr>
            <w:rStyle w:val="Hyperlink"/>
            <w:rFonts w:cs="Arial" w:ascii="Arial" w:hAnsi="Arial"/>
            <w:sz w:val="20"/>
          </w:rPr>
          <w:t>Caroline.Emmert@Enron.com</w:t>
        </w:r>
      </w:hyperlink>
      <w:r>
        <w:rPr>
          <w:rFonts w:cs="Arial" w:ascii="Arial" w:hAnsi="Arial"/>
          <w:sz w:val="20"/>
        </w:rPr>
        <w:t xml:space="preserve"> </w:t>
      </w:r>
    </w:p>
    <w:p>
      <w:pPr>
        <w:pStyle w:val="Normal"/>
        <w:jc w:val="both"/>
        <w:rPr/>
      </w:pPr>
      <w:r>
        <w:rPr>
          <w:rFonts w:cs="Arial" w:ascii="Arial" w:hAnsi="Arial"/>
          <w:sz w:val="20"/>
          <w:szCs w:val="17"/>
        </w:rPr>
        <w:tab/>
        <w:tab/>
        <w:tab/>
        <w:t>Lisa Gang</w:t>
        <w:tab/>
        <w:tab/>
        <w:tab/>
        <w:tab/>
      </w:r>
      <w:hyperlink r:id="rId4">
        <w:r>
          <w:rPr>
            <w:rStyle w:val="Hyperlink"/>
            <w:rFonts w:cs="Arial" w:ascii="Arial" w:hAnsi="Arial"/>
            <w:sz w:val="20"/>
            <w:szCs w:val="17"/>
          </w:rPr>
          <w:t>Lisa.Gang@Enron.com</w:t>
        </w:r>
      </w:hyperlink>
      <w:r>
        <w:rPr>
          <w:rFonts w:cs="Arial" w:ascii="Arial" w:hAnsi="Arial"/>
          <w:sz w:val="20"/>
          <w:szCs w:val="17"/>
        </w:rPr>
        <w:t xml:space="preserve"> </w:t>
      </w:r>
    </w:p>
    <w:p>
      <w:pPr>
        <w:pStyle w:val="Normal"/>
        <w:jc w:val="both"/>
        <w:rPr>
          <w:rFonts w:ascii="Arial" w:hAnsi="Arial" w:cs="Arial"/>
          <w:sz w:val="20"/>
          <w:szCs w:val="17"/>
        </w:rPr>
      </w:pPr>
      <w:r>
        <w:rPr>
          <w:rFonts w:cs="Arial" w:ascii="Arial" w:hAnsi="Arial"/>
          <w:sz w:val="20"/>
          <w:szCs w:val="17"/>
        </w:rPr>
        <w:tab/>
        <w:tab/>
        <w:tab/>
        <w:t>Murray O’Neil</w:t>
        <w:tab/>
        <w:tab/>
        <w:tab/>
        <w:tab/>
        <w:t>Murray.P.O’Neil@Enron.com</w:t>
      </w:r>
    </w:p>
    <w:p>
      <w:pPr>
        <w:pStyle w:val="Normal"/>
        <w:jc w:val="both"/>
        <w:rPr>
          <w:rFonts w:ascii="Arial" w:hAnsi="Arial" w:cs="Arial"/>
          <w:sz w:val="20"/>
          <w:szCs w:val="17"/>
        </w:rPr>
      </w:pPr>
      <w:r>
        <w:rPr>
          <w:rFonts w:cs="Arial" w:ascii="Arial" w:hAnsi="Arial"/>
          <w:sz w:val="20"/>
          <w:szCs w:val="17"/>
        </w:rPr>
      </w:r>
    </w:p>
    <w:p>
      <w:pPr>
        <w:pStyle w:val="Normal"/>
        <w:jc w:val="both"/>
        <w:rPr/>
      </w:pPr>
      <w:r>
        <w:rPr>
          <w:rFonts w:cs="Arial" w:ascii="Arial" w:hAnsi="Arial"/>
          <w:sz w:val="20"/>
        </w:rPr>
        <w:tab/>
        <w:tab/>
      </w:r>
      <w:r>
        <w:rPr>
          <w:rFonts w:cs="Arial" w:ascii="Arial" w:hAnsi="Arial"/>
          <w:b/>
          <w:bCs/>
          <w:sz w:val="20"/>
        </w:rPr>
        <w:t>William H. Booth Law Office</w:t>
      </w:r>
      <w:r>
        <w:rPr>
          <w:rFonts w:cs="Arial" w:ascii="Arial" w:hAnsi="Arial"/>
          <w:sz w:val="20"/>
        </w:rPr>
        <w:t>:</w:t>
        <w:tab/>
        <w:tab/>
        <w:tab/>
      </w:r>
    </w:p>
    <w:p>
      <w:pPr>
        <w:pStyle w:val="Normal"/>
        <w:jc w:val="both"/>
        <w:rPr/>
      </w:pPr>
      <w:r>
        <w:rPr>
          <w:rFonts w:cs="Arial" w:ascii="Arial" w:hAnsi="Arial"/>
          <w:sz w:val="20"/>
        </w:rPr>
        <w:tab/>
        <w:tab/>
      </w:r>
      <w:r>
        <w:rPr>
          <w:rFonts w:cs="Arial" w:ascii="Arial" w:hAnsi="Arial"/>
          <w:b/>
          <w:bCs/>
          <w:sz w:val="20"/>
        </w:rPr>
        <w:t>Hanson Permanente Cement</w:t>
      </w:r>
      <w:r>
        <w:rPr>
          <w:rFonts w:cs="Arial" w:ascii="Arial" w:hAnsi="Arial"/>
          <w:sz w:val="20"/>
        </w:rPr>
        <w:t>:</w:t>
        <w:tab/>
      </w:r>
    </w:p>
    <w:p>
      <w:pPr>
        <w:pStyle w:val="Normal"/>
        <w:ind w:firstLine="720" w:end="0"/>
        <w:jc w:val="both"/>
        <w:rPr>
          <w:rFonts w:ascii="Arial" w:hAnsi="Arial" w:cs="Arial"/>
          <w:sz w:val="20"/>
        </w:rPr>
      </w:pPr>
      <w:r>
        <w:rPr>
          <w:rFonts w:cs="Arial" w:ascii="Arial" w:hAnsi="Arial"/>
          <w:sz w:val="20"/>
        </w:rPr>
        <w:tab/>
        <w:tab/>
        <w:t>Stewart Smith</w:t>
        <w:tab/>
        <w:tab/>
        <w:t>Brad Carson</w:t>
        <w:tab/>
        <w:tab/>
        <w:t>Peter Russo</w:t>
      </w:r>
    </w:p>
    <w:p>
      <w:pPr>
        <w:pStyle w:val="Normal"/>
        <w:ind w:firstLine="720" w:start="1440" w:end="0"/>
        <w:jc w:val="both"/>
        <w:rPr>
          <w:rFonts w:ascii="Arial" w:hAnsi="Arial" w:cs="Arial"/>
          <w:sz w:val="20"/>
        </w:rPr>
      </w:pPr>
      <w:r>
        <w:rPr>
          <w:rFonts w:cs="Arial" w:ascii="Arial" w:hAnsi="Arial"/>
          <w:sz w:val="20"/>
        </w:rPr>
        <w:t>Jim Wallmann</w:t>
        <w:tab/>
        <w:tab/>
        <w:t>Mike Miller</w:t>
        <w:tab/>
        <w:tab/>
        <w:t>Beverly Daniels</w:t>
      </w:r>
    </w:p>
    <w:sectPr>
      <w:type w:val="nextPage"/>
      <w:pgSz w:w="12240" w:h="15840"/>
      <w:pgMar w:left="1440" w:right="1008" w:gutter="0" w:header="0" w:top="1008"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keepNext w:val="true"/>
      <w:numPr>
        <w:ilvl w:val="0"/>
        <w:numId w:val="1"/>
      </w:numPr>
      <w:ind w:firstLine="720" w:start="2160" w:end="0"/>
      <w:outlineLvl w:val="0"/>
    </w:pPr>
    <w:rPr>
      <w:rFonts w:ascii="Arial" w:hAnsi="Arial" w:cs="Arial"/>
      <w:b/>
    </w:rPr>
  </w:style>
  <w:style w:type="paragraph" w:styleId="Heading2">
    <w:name w:val="heading 2"/>
    <w:basedOn w:val="Normal"/>
    <w:next w:val="Normal"/>
    <w:qFormat/>
    <w:pPr>
      <w:keepNext w:val="true"/>
      <w:numPr>
        <w:ilvl w:val="1"/>
        <w:numId w:val="1"/>
      </w:numPr>
      <w:jc w:val="both"/>
      <w:outlineLvl w:val="1"/>
    </w:pPr>
    <w:rPr>
      <w:rFonts w:ascii="Arial" w:hAnsi="Arial" w:cs="Arial"/>
      <w:b/>
      <w:i/>
      <w:iCs/>
      <w:sz w:val="18"/>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rFonts w:ascii="Arial" w:hAnsi="Arial" w:cs="Arial"/>
      <w:sz w:val="18"/>
    </w:rPr>
  </w:style>
  <w:style w:type="paragraph" w:styleId="BodyText2">
    <w:name w:val="Body Text 2"/>
    <w:basedOn w:val="Normal"/>
    <w:qFormat/>
    <w:pPr>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arque@enron.com" TargetMode="External"/><Relationship Id="rId3" Type="http://schemas.openxmlformats.org/officeDocument/2006/relationships/hyperlink" Target="mailto:Caroline.Emmert@Enron.com" TargetMode="External"/><Relationship Id="rId4" Type="http://schemas.openxmlformats.org/officeDocument/2006/relationships/hyperlink" Target="mailto:Lisa.Gang@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2002-04-09T20:34:00Z</dcterms:created>
  <dc:creator>Earl Big Bopper Bouse</dc:creator>
  <dc:description/>
  <dc:language>en-CA</dc:language>
  <cp:lastModifiedBy>Hanson Aggregates Mid-Pacific Region</cp:lastModifiedBy>
  <cp:lastPrinted>2002-04-09T16:03:00Z</cp:lastPrinted>
  <dcterms:modified xsi:type="dcterms:W3CDTF">2002-04-09T20:34:00Z</dcterms:modified>
  <cp:revision>2</cp:revision>
  <dc:subject/>
  <dc:title>April 20, 1999</dc:title>
</cp:coreProperties>
</file>