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lineRule="auto" w:line="480"/>
        <w:rPr>
          <w:u w:val="none"/>
        </w:rPr>
      </w:pPr>
      <w:r>
        <w:rPr>
          <w:u w:val="none"/>
        </w:rPr>
        <w:tab/>
        <w:tab/>
        <w:tab/>
        <w:tab/>
        <w:tab/>
      </w:r>
    </w:p>
    <w:p>
      <w:pPr>
        <w:pStyle w:val="Heading"/>
        <w:spacing w:lineRule="auto" w:line="480"/>
        <w:rPr/>
      </w:pPr>
      <w:r>
        <w:rPr/>
        <w:t>Amendment Number 1 to ENFOLIO® Master Firm Purchase/Sale Agreement</w:t>
      </w:r>
    </w:p>
    <w:p>
      <w:pPr>
        <w:pStyle w:val="Heading"/>
        <w:spacing w:lineRule="auto" w:line="480"/>
        <w:rPr/>
      </w:pPr>
      <w:r>
        <w:rPr/>
      </w:r>
    </w:p>
    <w:p>
      <w:pPr>
        <w:pStyle w:val="Justified"/>
        <w:spacing w:lineRule="auto" w:line="480"/>
        <w:rPr>
          <w:rFonts w:ascii="Times New Roman" w:hAnsi="Times New Roman" w:cs="Times New Roman"/>
          <w:sz w:val="24"/>
        </w:rPr>
      </w:pPr>
      <w:r>
        <w:rPr>
          <w:rFonts w:cs="Times New Roman" w:ascii="Times New Roman" w:hAnsi="Times New Roman"/>
          <w:sz w:val="24"/>
        </w:rPr>
        <w:tab/>
        <w:t>THIS Amendment to ENFOLIO® Master Firm Purchase/Sale Agreement, made and entered into effective as of the 1st day of December, 2000, by and between Enron North America Corp., a Delaware corporation, ("Company"), and Citizens Communications Company, a Delaware corporation, formerly known as “Citizens Utilities Company”  ("Customer");</w:t>
      </w:r>
    </w:p>
    <w:p>
      <w:pPr>
        <w:pStyle w:val="Expanded"/>
        <w:spacing w:lineRule="auto" w:line="480" w:before="0" w:after="120"/>
        <w:rPr>
          <w:rFonts w:ascii="Times New Roman" w:hAnsi="Times New Roman" w:cs="Times New Roman"/>
          <w:sz w:val="24"/>
        </w:rPr>
      </w:pPr>
      <w:r>
        <w:rPr>
          <w:rFonts w:cs="Times New Roman" w:ascii="Times New Roman" w:hAnsi="Times New Roman"/>
          <w:sz w:val="24"/>
        </w:rPr>
        <w:t>WITNESSETH:</w:t>
      </w:r>
    </w:p>
    <w:p>
      <w:pPr>
        <w:pStyle w:val="Justified"/>
        <w:spacing w:lineRule="auto" w:line="480"/>
        <w:rPr>
          <w:rFonts w:ascii="Times New Roman" w:hAnsi="Times New Roman" w:cs="Times New Roman"/>
          <w:sz w:val="24"/>
        </w:rPr>
      </w:pPr>
      <w:r>
        <w:rPr>
          <w:rFonts w:cs="Times New Roman" w:ascii="Times New Roman" w:hAnsi="Times New Roman"/>
          <w:sz w:val="24"/>
        </w:rPr>
        <w:tab/>
        <w:t>THAT WHEREAS, Company, successor in interest by merger to Enron Gas Marketing, Inc., and Customer are parties to that certain Enfolio® Master Firm Purchase/Sale Agreement dated effective as of November 1, 1994 (“Agreement”) covering the terms and conditions relative to certain purchase or sales transactions to be entered into from time to time by the Parties; and</w:t>
      </w:r>
    </w:p>
    <w:p>
      <w:pPr>
        <w:pStyle w:val="Justified"/>
        <w:spacing w:lineRule="auto" w:line="480"/>
        <w:rPr>
          <w:rFonts w:ascii="Times New Roman" w:hAnsi="Times New Roman" w:cs="Times New Roman"/>
          <w:sz w:val="24"/>
        </w:rPr>
      </w:pPr>
      <w:r>
        <w:rPr>
          <w:rFonts w:cs="Times New Roman" w:ascii="Times New Roman" w:hAnsi="Times New Roman"/>
          <w:sz w:val="24"/>
        </w:rPr>
        <w:tab/>
        <w:t xml:space="preserve">WHEREAS, Company and Customer express a mutual desire to amend the Agreement as hereinafter provided. </w:t>
      </w:r>
    </w:p>
    <w:p>
      <w:pPr>
        <w:pStyle w:val="Justified"/>
        <w:spacing w:lineRule="auto" w:line="480"/>
        <w:rPr>
          <w:rFonts w:ascii="Times New Roman" w:hAnsi="Times New Roman" w:cs="Times New Roman"/>
          <w:sz w:val="24"/>
        </w:rPr>
      </w:pPr>
      <w:r>
        <w:rPr>
          <w:rFonts w:cs="Times New Roman" w:ascii="Times New Roman" w:hAnsi="Times New Roman"/>
          <w:sz w:val="24"/>
        </w:rPr>
        <w:tab/>
        <w:t>NOW, THEREFORE, in consideration of the sum of Ten Dollars ($10.00) to be paid by Customer to Company, the receipt and sufficiency of which are hereby acknowledged, and of the mutual covenants and agreements herein set forth, the parties hereto agree that the Agreement is amended, effective as of the date first hereinabove written, by adding immediately after the last provision contained in Appendix “1” thereto the following new provision, to-wit:</w:t>
      </w:r>
    </w:p>
    <w:p>
      <w:pPr>
        <w:pStyle w:val="Normal"/>
        <w:spacing w:lineRule="auto" w:line="480"/>
        <w:ind w:start="720" w:end="720"/>
        <w:jc w:val="both"/>
        <w:rPr/>
      </w:pPr>
      <w:r>
        <w:rPr/>
        <w:t>“</w:t>
      </w:r>
      <w:r>
        <w:rPr>
          <w:rFonts w:eastAsia="Symbol" w:cs="Symbol" w:ascii="Symbol" w:hAnsi="Symbol"/>
          <w:b/>
        </w:rPr>
        <w:sym w:font="Symbol" w:char="f0b7"/>
      </w:r>
      <w:r>
        <w:rPr>
          <w:b/>
          <w:u w:val="single"/>
        </w:rPr>
        <w:t>Flexible Pricing</w:t>
      </w:r>
      <w:r>
        <w:rPr/>
        <w:t xml:space="preserve"> During the Period of Delivery for a Transaction entered into pursuant to this Agreement, Customer may request a flexible pricing mechanism apply rather than the original Contract Price, such as a Fixed Price, Fixed Basis Price, Floating Basis Price (collectively, “Flexible Price”) for  a part of the Contract Quantity (DCQ) by contacting Company during Pricing Hours requesting any such price for a specified quantity of Gas to be Scheduled during selected Month(s) within the Period of Delivery; provided, such request must be made prior to 10:30 a.m. C.T. of the last trading Day of the NYMEX Gas futures contract for the selected Month(sIt is envisioned that such Flexible Price shall be established for only a portion of the Contract Quantity and that the difference between the Contract Quantity and the Flexile Price volume agreed to by the Parties shall be priced at the Contract Price.  The Parties agree that unless otherwise expressly set forth in the Transaction Agreement, the volumes covered by any Flexible Pricing provision shall be deemed to be the first volumes to be delivered pursuant to a Transaction each Day. )  Customer also may request a Flexible Price to sell Gas that has already been purchased by Customer, back to Company.   All such Flexible Purchases and Sales shall only be completed on a mutually acceptable basis and neither party shall be required to enter into a Flexible Price.The terms of this Agreement, including, without limitation, </w:t>
      </w:r>
      <w:r>
        <w:rPr>
          <w:u w:val="single"/>
        </w:rPr>
        <w:t>Article 2</w:t>
      </w:r>
      <w:r>
        <w:rPr/>
        <w:t xml:space="preserve">, shall apply to Flexible Pricing in respect of any Transaction hereunder. A Confirmation may will  be sent by Company to Customer confirming the Flexible Pricing agreement in accordance with </w:t>
      </w:r>
      <w:r>
        <w:rPr>
          <w:u w:val="single"/>
        </w:rPr>
        <w:t>Section 2.4, however, if such Confirmation is not sent, any arrangement agreed to by the Parties in an phne call sahll be binding upon the Parties.</w:t>
      </w:r>
      <w:r>
        <w:rPr/>
        <w:t xml:space="preserve">.  </w:t>
      </w:r>
    </w:p>
    <w:p>
      <w:pPr>
        <w:pStyle w:val="Normal"/>
        <w:spacing w:lineRule="auto" w:line="480"/>
        <w:ind w:start="720" w:end="720"/>
        <w:jc w:val="both"/>
        <w:rPr/>
      </w:pPr>
      <w:r>
        <w:rPr/>
        <w:t>"</w:t>
      </w:r>
      <w:r>
        <w:rPr>
          <w:u w:val="single"/>
        </w:rPr>
        <w:t>Fixed Price</w:t>
      </w:r>
      <w:r>
        <w:rPr/>
        <w:t xml:space="preserve">" means a singular price per MMBTU for a specified volume of gas, for specified Month(s), as designated by Customer  as agreed to by the Parties.  </w:t>
      </w:r>
    </w:p>
    <w:p>
      <w:pPr>
        <w:pStyle w:val="Normal"/>
        <w:spacing w:lineRule="auto" w:line="480"/>
        <w:ind w:start="720" w:end="720"/>
        <w:jc w:val="both"/>
        <w:rPr/>
      </w:pPr>
      <w:r>
        <w:rPr/>
        <w:t>"</w:t>
      </w:r>
      <w:r>
        <w:rPr>
          <w:u w:val="single"/>
        </w:rPr>
        <w:t>Fixed Basis Price</w:t>
      </w:r>
      <w:r>
        <w:rPr/>
        <w:t>" means a price per MMBTU agreed to by the Parties as a differential to the NYMEX Gas futures contracts.  When a Fixed Basis Price is established, Customer and Company can subsequently agree on a futures price to establish a Fixed Price at the Delivery Point.  In the event that this does not occur, the Fixed Basis Price shall become a Fixed Price equal to the the average of the settlement prices of the NYMEX Gas futures contract for the last three trading Days of an applicable Month(s) ("</w:t>
      </w:r>
      <w:r>
        <w:rPr>
          <w:u w:val="single"/>
        </w:rPr>
        <w:t>Average Settlement Price</w:t>
      </w:r>
      <w:r>
        <w:rPr/>
        <w:t xml:space="preserve">"), plus the Fixed Basis Price agreed to by the Parties. </w:t>
      </w:r>
    </w:p>
    <w:p>
      <w:pPr>
        <w:pStyle w:val="Normal"/>
        <w:spacing w:lineRule="auto" w:line="480"/>
        <w:ind w:start="720" w:end="720"/>
        <w:jc w:val="both"/>
        <w:rPr/>
      </w:pPr>
      <w:r>
        <w:rPr/>
        <w:t>"</w:t>
      </w:r>
      <w:r>
        <w:rPr>
          <w:u w:val="single"/>
        </w:rPr>
        <w:t>Floating Basis Price</w:t>
      </w:r>
      <w:r>
        <w:rPr/>
        <w:t xml:space="preserve">" means a price per MMBTU equal to the sum of the Fixed Price for NYMEX futures per MMBTU for a specified Month(s) as agreed to by the Parties </w:t>
      </w:r>
      <w:r>
        <w:rPr>
          <w:u w:val="single"/>
        </w:rPr>
        <w:t>plus</w:t>
      </w:r>
      <w:r>
        <w:rPr/>
        <w:t xml:space="preserve"> the difference between the applicable Month(s) selected reference price per MMBTU for the Delivery Point(s) and the applicable Month(s)’ NYMEX last day Settlement Price per MMBTU. .  When a Flexible Basis Price is established, Customer and Company can subsequently agree on a Fixed Basis Price to establish a Fixed Price at the Delivery Point. In the event that this does not occur, the Floating Basis Price shall become a Fixed Price equal to the average of the settlement prices of the NYMEX Gas futures contract for the last three trading Days of an applicable Month(s) ("</w:t>
      </w:r>
      <w:r>
        <w:rPr>
          <w:u w:val="single"/>
        </w:rPr>
        <w:t>Average Settlement Price</w:t>
      </w:r>
      <w:r>
        <w:rPr/>
        <w:t>"), plus a Fixed Basis Price equal to the difference between the average of the settlement prices of the NYMEX Gas futures contract for the last three trading Days of an applicable Month(s) ("</w:t>
      </w:r>
      <w:r>
        <w:rPr>
          <w:u w:val="single"/>
        </w:rPr>
        <w:t>Average Settlement Price</w:t>
      </w:r>
      <w:r>
        <w:rPr/>
        <w:t xml:space="preserve">") and index price for San Juan Basin, Non-Bondad deliveries as pubished in Inside FERC Gas Market Report first issue of the delivery month. </w:t>
      </w:r>
    </w:p>
    <w:p>
      <w:pPr>
        <w:pStyle w:val="Normal"/>
        <w:spacing w:lineRule="auto" w:line="480"/>
        <w:ind w:start="720" w:end="720"/>
        <w:jc w:val="both"/>
        <w:rPr/>
      </w:pPr>
      <w:r>
        <w:rPr/>
      </w:r>
    </w:p>
    <w:p>
      <w:pPr>
        <w:pStyle w:val="Normal"/>
        <w:spacing w:lineRule="auto" w:line="480"/>
        <w:ind w:start="720" w:end="720"/>
        <w:jc w:val="both"/>
        <w:rPr/>
      </w:pPr>
      <w:r>
        <w:rPr/>
        <w:t>To the extent Customer and Company have entered into a Flexible Price arrangement, Customer and Company can subsequently agree to have Customer sell Gas back to Company at a mutually acceptable Flexible Price.</w:t>
      </w:r>
    </w:p>
    <w:p>
      <w:pPr>
        <w:pStyle w:val="Normal"/>
        <w:spacing w:lineRule="auto" w:line="480"/>
        <w:ind w:start="720" w:end="720"/>
        <w:jc w:val="both"/>
        <w:rPr/>
      </w:pPr>
      <w:r>
        <w:rPr/>
        <w:t>Customer and Company can mutually agree to utilize alternative  price mechanisms to effect the price per MMBTU payable, for a specified volume and Month(s) during the Agreement with all such price(s) agreed to by the Parties and such agreement not unreasonably withheld by either. Financial derivatives include, but are not limited to, Gas Daily Swing Swaps, floors, ceilings, no cost collars, and put and call options.</w:t>
      </w:r>
    </w:p>
    <w:p>
      <w:pPr>
        <w:pStyle w:val="Normal"/>
        <w:spacing w:lineRule="auto" w:line="720"/>
        <w:ind w:start="720" w:end="720"/>
        <w:jc w:val="both"/>
        <w:rPr/>
      </w:pPr>
      <w:r>
        <w:rPr/>
      </w:r>
    </w:p>
    <w:p>
      <w:pPr>
        <w:pStyle w:val="Normal"/>
        <w:spacing w:lineRule="auto" w:line="720"/>
        <w:ind w:start="720" w:end="720"/>
        <w:jc w:val="both"/>
        <w:rPr/>
      </w:pPr>
      <w:r>
        <w:rPr/>
      </w:r>
    </w:p>
    <w:p>
      <w:pPr>
        <w:pStyle w:val="Normal"/>
        <w:spacing w:lineRule="auto" w:line="720"/>
        <w:ind w:start="720" w:end="720"/>
        <w:jc w:val="both"/>
        <w:rPr/>
      </w:pPr>
      <w:r>
        <w:rPr/>
      </w:r>
    </w:p>
    <w:p>
      <w:pPr>
        <w:pStyle w:val="Normal"/>
        <w:spacing w:lineRule="auto" w:line="720"/>
        <w:ind w:start="720" w:end="720"/>
        <w:jc w:val="both"/>
        <w:rPr/>
      </w:pPr>
      <w:r>
        <w:rPr/>
      </w:r>
    </w:p>
    <w:p>
      <w:pPr>
        <w:pStyle w:val="Heading2"/>
        <w:spacing w:lineRule="auto" w:line="720"/>
        <w:rPr>
          <w:rFonts w:ascii="Times New Roman" w:hAnsi="Times New Roman" w:cs="Times New Roman"/>
          <w:sz w:val="24"/>
        </w:rPr>
      </w:pPr>
      <w:r>
        <w:rPr>
          <w:rFonts w:cs="Times New Roman" w:ascii="Times New Roman" w:hAnsi="Times New Roman"/>
          <w:sz w:val="24"/>
        </w:rPr>
      </w:r>
    </w:p>
    <w:tbl>
      <w:tblPr>
        <w:tblW w:w="9583" w:type="dxa"/>
        <w:jc w:val="start"/>
        <w:tblInd w:w="0" w:type="dxa"/>
        <w:tblLayout w:type="fixed"/>
        <w:tblCellMar>
          <w:top w:w="0" w:type="dxa"/>
          <w:start w:w="108" w:type="dxa"/>
          <w:bottom w:w="0" w:type="dxa"/>
          <w:end w:w="108" w:type="dxa"/>
        </w:tblCellMar>
      </w:tblPr>
      <w:tblGrid>
        <w:gridCol w:w="5148"/>
        <w:gridCol w:w="4320"/>
        <w:gridCol w:w="115"/>
      </w:tblGrid>
      <w:tr>
        <w:trPr/>
        <w:tc>
          <w:tcPr>
            <w:tcW w:w="5148" w:type="dxa"/>
            <w:tcBorders/>
          </w:tcPr>
          <w:p>
            <w:pPr>
              <w:pStyle w:val="Normal"/>
              <w:snapToGrid w:val="false"/>
              <w:spacing w:lineRule="auto" w:line="720"/>
              <w:jc w:val="both"/>
              <w:rPr/>
            </w:pPr>
            <w:r>
              <w:rPr/>
            </w:r>
          </w:p>
        </w:tc>
        <w:tc>
          <w:tcPr>
            <w:tcW w:w="4320" w:type="dxa"/>
            <w:tcBorders/>
          </w:tcPr>
          <w:p>
            <w:pPr>
              <w:pStyle w:val="Normal"/>
              <w:spacing w:lineRule="auto" w:line="720"/>
              <w:jc w:val="both"/>
              <w:rPr/>
            </w:pPr>
            <w:r>
              <w:rPr/>
              <w:t>ENRON NORTH AMERICA CORP.</w:t>
            </w:r>
          </w:p>
        </w:tc>
        <w:tc>
          <w:tcPr>
            <w:tcW w:w="115" w:type="dxa"/>
            <w:tcBorders/>
            <w:tcMar>
              <w:start w:w="0" w:type="dxa"/>
              <w:end w:w="0" w:type="dxa"/>
            </w:tcMar>
          </w:tcPr>
          <w:p>
            <w:pPr>
              <w:pStyle w:val="Normal"/>
              <w:snapToGrid w:val="false"/>
              <w:rPr/>
            </w:pPr>
            <w:r>
              <w:rPr/>
            </w:r>
          </w:p>
        </w:tc>
      </w:tr>
      <w:tr>
        <w:trPr/>
        <w:tc>
          <w:tcPr>
            <w:tcW w:w="5148" w:type="dxa"/>
            <w:tcBorders/>
          </w:tcPr>
          <w:p>
            <w:pPr>
              <w:pStyle w:val="Normal"/>
              <w:snapToGrid w:val="false"/>
              <w:spacing w:lineRule="auto" w:line="720"/>
              <w:jc w:val="both"/>
              <w:rPr/>
            </w:pPr>
            <w:r>
              <w:rPr/>
            </w:r>
          </w:p>
        </w:tc>
        <w:tc>
          <w:tcPr>
            <w:tcW w:w="4320" w:type="dxa"/>
            <w:tcBorders/>
          </w:tcPr>
          <w:p>
            <w:pPr>
              <w:pStyle w:val="Normal"/>
              <w:snapToGrid w:val="false"/>
              <w:spacing w:lineRule="auto" w:line="720"/>
              <w:jc w:val="both"/>
              <w:rPr/>
            </w:pPr>
            <w:r>
              <w:rPr/>
            </w:r>
          </w:p>
        </w:tc>
        <w:tc>
          <w:tcPr>
            <w:tcW w:w="115" w:type="dxa"/>
            <w:tcBorders/>
            <w:tcMar>
              <w:start w:w="0" w:type="dxa"/>
              <w:end w:w="0" w:type="dxa"/>
            </w:tcMar>
          </w:tcPr>
          <w:p>
            <w:pPr>
              <w:pStyle w:val="Normal"/>
              <w:snapToGrid w:val="false"/>
              <w:rPr/>
            </w:pPr>
            <w:r>
              <w:rPr/>
            </w:r>
          </w:p>
        </w:tc>
      </w:tr>
      <w:tr>
        <w:trPr/>
        <w:tc>
          <w:tcPr>
            <w:tcW w:w="5148" w:type="dxa"/>
            <w:tcBorders/>
          </w:tcPr>
          <w:p>
            <w:pPr>
              <w:pStyle w:val="Normal"/>
              <w:snapToGrid w:val="false"/>
              <w:spacing w:lineRule="auto" w:line="720"/>
              <w:jc w:val="both"/>
              <w:rPr/>
            </w:pPr>
            <w:r>
              <w:rPr/>
            </w:r>
          </w:p>
        </w:tc>
        <w:tc>
          <w:tcPr>
            <w:tcW w:w="4320" w:type="dxa"/>
            <w:tcBorders/>
          </w:tcPr>
          <w:p>
            <w:pPr>
              <w:pStyle w:val="Normal"/>
              <w:spacing w:lineRule="auto" w:line="720"/>
              <w:jc w:val="both"/>
              <w:rPr/>
            </w:pPr>
            <w:r>
              <w:rPr/>
              <w:t>By __________________________</w:t>
            </w:r>
          </w:p>
        </w:tc>
        <w:tc>
          <w:tcPr>
            <w:tcW w:w="115" w:type="dxa"/>
            <w:tcBorders/>
            <w:tcMar>
              <w:start w:w="0" w:type="dxa"/>
              <w:end w:w="0" w:type="dxa"/>
            </w:tcMar>
          </w:tcPr>
          <w:p>
            <w:pPr>
              <w:pStyle w:val="Normal"/>
              <w:snapToGrid w:val="false"/>
              <w:rPr/>
            </w:pPr>
            <w:r>
              <w:rPr/>
            </w:r>
          </w:p>
        </w:tc>
      </w:tr>
      <w:tr>
        <w:trPr/>
        <w:tc>
          <w:tcPr>
            <w:tcW w:w="5148" w:type="dxa"/>
            <w:tcBorders/>
          </w:tcPr>
          <w:p>
            <w:pPr>
              <w:pStyle w:val="Normal"/>
              <w:snapToGrid w:val="false"/>
              <w:spacing w:lineRule="auto" w:line="720"/>
              <w:jc w:val="both"/>
              <w:rPr/>
            </w:pPr>
            <w:r>
              <w:rPr/>
            </w:r>
          </w:p>
        </w:tc>
        <w:tc>
          <w:tcPr>
            <w:tcW w:w="4320" w:type="dxa"/>
            <w:tcBorders/>
          </w:tcPr>
          <w:p>
            <w:pPr>
              <w:pStyle w:val="Normal"/>
              <w:spacing w:lineRule="auto" w:line="720"/>
              <w:jc w:val="both"/>
              <w:rPr/>
            </w:pPr>
            <w:r>
              <w:rPr/>
              <w:t>Title : ________________________</w:t>
            </w:r>
          </w:p>
        </w:tc>
        <w:tc>
          <w:tcPr>
            <w:tcW w:w="115" w:type="dxa"/>
            <w:tcBorders/>
            <w:tcMar>
              <w:start w:w="0" w:type="dxa"/>
              <w:end w:w="0" w:type="dxa"/>
            </w:tcMar>
          </w:tcPr>
          <w:p>
            <w:pPr>
              <w:pStyle w:val="Normal"/>
              <w:snapToGrid w:val="false"/>
              <w:rPr/>
            </w:pPr>
            <w:r>
              <w:rPr/>
            </w:r>
          </w:p>
        </w:tc>
      </w:tr>
      <w:tr>
        <w:trPr/>
        <w:tc>
          <w:tcPr>
            <w:tcW w:w="5148" w:type="dxa"/>
            <w:tcBorders/>
          </w:tcPr>
          <w:p>
            <w:pPr>
              <w:pStyle w:val="Normal"/>
              <w:snapToGrid w:val="false"/>
              <w:spacing w:lineRule="auto" w:line="720"/>
              <w:jc w:val="both"/>
              <w:rPr/>
            </w:pPr>
            <w:r>
              <w:rPr/>
            </w:r>
          </w:p>
        </w:tc>
        <w:tc>
          <w:tcPr>
            <w:tcW w:w="4320" w:type="dxa"/>
            <w:tcBorders/>
          </w:tcPr>
          <w:p>
            <w:pPr>
              <w:pStyle w:val="Normal"/>
              <w:snapToGrid w:val="false"/>
              <w:spacing w:lineRule="auto" w:line="720"/>
              <w:jc w:val="both"/>
              <w:rPr/>
            </w:pPr>
            <w:r>
              <w:rPr/>
            </w:r>
          </w:p>
        </w:tc>
        <w:tc>
          <w:tcPr>
            <w:tcW w:w="115" w:type="dxa"/>
            <w:tcBorders/>
            <w:tcMar>
              <w:start w:w="0" w:type="dxa"/>
              <w:end w:w="0" w:type="dxa"/>
            </w:tcMar>
          </w:tcPr>
          <w:p>
            <w:pPr>
              <w:pStyle w:val="Normal"/>
              <w:snapToGrid w:val="false"/>
              <w:rPr/>
            </w:pPr>
            <w:r>
              <w:rPr/>
            </w:r>
          </w:p>
        </w:tc>
      </w:tr>
      <w:tr>
        <w:trPr/>
        <w:tc>
          <w:tcPr>
            <w:tcW w:w="5148" w:type="dxa"/>
            <w:tcBorders/>
          </w:tcPr>
          <w:p>
            <w:pPr>
              <w:pStyle w:val="Normal"/>
              <w:snapToGrid w:val="false"/>
              <w:spacing w:lineRule="auto" w:line="720"/>
              <w:jc w:val="both"/>
              <w:rPr/>
            </w:pPr>
            <w:r>
              <w:rPr/>
            </w:r>
          </w:p>
        </w:tc>
        <w:tc>
          <w:tcPr>
            <w:tcW w:w="4320" w:type="dxa"/>
            <w:tcBorders/>
          </w:tcPr>
          <w:p>
            <w:pPr>
              <w:pStyle w:val="Normal"/>
              <w:spacing w:lineRule="auto" w:line="720"/>
              <w:jc w:val="center"/>
              <w:rPr/>
            </w:pPr>
            <w:r>
              <w:rPr/>
              <w:t>"Company"</w:t>
            </w:r>
          </w:p>
          <w:p>
            <w:pPr>
              <w:pStyle w:val="Normal"/>
              <w:spacing w:lineRule="auto" w:line="720"/>
              <w:jc w:val="center"/>
              <w:rPr/>
            </w:pPr>
            <w:r>
              <w:rPr/>
            </w:r>
          </w:p>
        </w:tc>
        <w:tc>
          <w:tcPr>
            <w:tcW w:w="115" w:type="dxa"/>
            <w:tcBorders/>
            <w:tcMar>
              <w:start w:w="0" w:type="dxa"/>
              <w:end w:w="0" w:type="dxa"/>
            </w:tcMar>
          </w:tcPr>
          <w:p>
            <w:pPr>
              <w:pStyle w:val="Normal"/>
              <w:snapToGrid w:val="false"/>
              <w:rPr/>
            </w:pPr>
            <w:r>
              <w:rPr/>
            </w:r>
          </w:p>
        </w:tc>
      </w:tr>
      <w:tr>
        <w:trPr/>
        <w:tc>
          <w:tcPr>
            <w:tcW w:w="5148" w:type="dxa"/>
            <w:tcBorders/>
          </w:tcPr>
          <w:p>
            <w:pPr>
              <w:pStyle w:val="Normal"/>
              <w:snapToGrid w:val="false"/>
              <w:spacing w:lineRule="auto" w:line="720"/>
              <w:jc w:val="both"/>
              <w:rPr/>
            </w:pPr>
            <w:r>
              <w:rPr/>
            </w:r>
          </w:p>
        </w:tc>
        <w:tc>
          <w:tcPr>
            <w:tcW w:w="4320" w:type="dxa"/>
            <w:tcBorders/>
          </w:tcPr>
          <w:p>
            <w:pPr>
              <w:pStyle w:val="Normal"/>
              <w:snapToGrid w:val="false"/>
              <w:spacing w:lineRule="auto" w:line="720"/>
              <w:jc w:val="both"/>
              <w:rPr/>
            </w:pPr>
            <w:r>
              <w:rPr/>
            </w:r>
          </w:p>
        </w:tc>
        <w:tc>
          <w:tcPr>
            <w:tcW w:w="115" w:type="dxa"/>
            <w:tcBorders/>
            <w:tcMar>
              <w:start w:w="0" w:type="dxa"/>
              <w:end w:w="0" w:type="dxa"/>
            </w:tcMar>
          </w:tcPr>
          <w:p>
            <w:pPr>
              <w:pStyle w:val="Normal"/>
              <w:snapToGrid w:val="false"/>
              <w:rPr/>
            </w:pPr>
            <w:r>
              <w:rPr/>
            </w:r>
          </w:p>
        </w:tc>
      </w:tr>
      <w:tr>
        <w:trPr/>
        <w:tc>
          <w:tcPr>
            <w:tcW w:w="5148" w:type="dxa"/>
            <w:tcBorders/>
          </w:tcPr>
          <w:p>
            <w:pPr>
              <w:pStyle w:val="Normal"/>
              <w:snapToGrid w:val="false"/>
              <w:spacing w:lineRule="auto" w:line="720"/>
              <w:jc w:val="both"/>
              <w:rPr/>
            </w:pPr>
            <w:r>
              <w:rPr/>
            </w:r>
          </w:p>
        </w:tc>
        <w:tc>
          <w:tcPr>
            <w:tcW w:w="4435" w:type="dxa"/>
            <w:gridSpan w:val="2"/>
            <w:tcBorders/>
          </w:tcPr>
          <w:p>
            <w:pPr>
              <w:pStyle w:val="Normal"/>
              <w:spacing w:lineRule="auto" w:line="720"/>
              <w:jc w:val="both"/>
              <w:rPr/>
            </w:pPr>
            <w:r>
              <w:rPr/>
              <w:t>CITIZENS UTILITIES COMPANY</w:t>
            </w:r>
          </w:p>
        </w:tc>
      </w:tr>
      <w:tr>
        <w:trPr/>
        <w:tc>
          <w:tcPr>
            <w:tcW w:w="5148" w:type="dxa"/>
            <w:tcBorders/>
          </w:tcPr>
          <w:p>
            <w:pPr>
              <w:pStyle w:val="Normal"/>
              <w:snapToGrid w:val="false"/>
              <w:spacing w:lineRule="auto" w:line="720"/>
              <w:jc w:val="both"/>
              <w:rPr/>
            </w:pPr>
            <w:r>
              <w:rPr/>
            </w:r>
          </w:p>
        </w:tc>
        <w:tc>
          <w:tcPr>
            <w:tcW w:w="4320" w:type="dxa"/>
            <w:tcBorders/>
          </w:tcPr>
          <w:p>
            <w:pPr>
              <w:pStyle w:val="Normal"/>
              <w:snapToGrid w:val="false"/>
              <w:spacing w:lineRule="auto" w:line="720"/>
              <w:jc w:val="both"/>
              <w:rPr/>
            </w:pPr>
            <w:r>
              <w:rPr/>
            </w:r>
          </w:p>
        </w:tc>
        <w:tc>
          <w:tcPr>
            <w:tcW w:w="115" w:type="dxa"/>
            <w:tcBorders/>
            <w:tcMar>
              <w:start w:w="0" w:type="dxa"/>
              <w:end w:w="0" w:type="dxa"/>
            </w:tcMar>
          </w:tcPr>
          <w:p>
            <w:pPr>
              <w:pStyle w:val="Normal"/>
              <w:snapToGrid w:val="false"/>
              <w:rPr/>
            </w:pPr>
            <w:r>
              <w:rPr/>
            </w:r>
          </w:p>
        </w:tc>
      </w:tr>
      <w:tr>
        <w:trPr/>
        <w:tc>
          <w:tcPr>
            <w:tcW w:w="5148" w:type="dxa"/>
            <w:tcBorders/>
          </w:tcPr>
          <w:p>
            <w:pPr>
              <w:pStyle w:val="Normal"/>
              <w:snapToGrid w:val="false"/>
              <w:spacing w:lineRule="auto" w:line="720"/>
              <w:jc w:val="both"/>
              <w:rPr/>
            </w:pPr>
            <w:r>
              <w:rPr/>
            </w:r>
          </w:p>
        </w:tc>
        <w:tc>
          <w:tcPr>
            <w:tcW w:w="4320" w:type="dxa"/>
            <w:tcBorders/>
          </w:tcPr>
          <w:p>
            <w:pPr>
              <w:pStyle w:val="Normal"/>
              <w:spacing w:lineRule="auto" w:line="720"/>
              <w:jc w:val="both"/>
              <w:rPr/>
            </w:pPr>
            <w:r>
              <w:rPr/>
              <w:t>By __________________________</w:t>
            </w:r>
          </w:p>
        </w:tc>
        <w:tc>
          <w:tcPr>
            <w:tcW w:w="115" w:type="dxa"/>
            <w:tcBorders/>
            <w:tcMar>
              <w:start w:w="0" w:type="dxa"/>
              <w:end w:w="0" w:type="dxa"/>
            </w:tcMar>
          </w:tcPr>
          <w:p>
            <w:pPr>
              <w:pStyle w:val="Normal"/>
              <w:snapToGrid w:val="false"/>
              <w:rPr/>
            </w:pPr>
            <w:r>
              <w:rPr/>
            </w:r>
          </w:p>
        </w:tc>
      </w:tr>
      <w:tr>
        <w:trPr/>
        <w:tc>
          <w:tcPr>
            <w:tcW w:w="5148" w:type="dxa"/>
            <w:tcBorders/>
          </w:tcPr>
          <w:p>
            <w:pPr>
              <w:pStyle w:val="Normal"/>
              <w:snapToGrid w:val="false"/>
              <w:spacing w:lineRule="auto" w:line="720"/>
              <w:jc w:val="both"/>
              <w:rPr/>
            </w:pPr>
            <w:r>
              <w:rPr/>
            </w:r>
          </w:p>
        </w:tc>
        <w:tc>
          <w:tcPr>
            <w:tcW w:w="4320" w:type="dxa"/>
            <w:tcBorders/>
          </w:tcPr>
          <w:p>
            <w:pPr>
              <w:pStyle w:val="Normal"/>
              <w:spacing w:lineRule="auto" w:line="720"/>
              <w:jc w:val="both"/>
              <w:rPr/>
            </w:pPr>
            <w:r>
              <w:rPr/>
              <w:t>Title: ________________________</w:t>
            </w:r>
          </w:p>
          <w:p>
            <w:pPr>
              <w:pStyle w:val="Normal"/>
              <w:spacing w:lineRule="auto" w:line="720"/>
              <w:jc w:val="both"/>
              <w:rPr/>
            </w:pPr>
            <w:r>
              <w:rPr/>
            </w:r>
          </w:p>
        </w:tc>
        <w:tc>
          <w:tcPr>
            <w:tcW w:w="115" w:type="dxa"/>
            <w:tcBorders/>
            <w:tcMar>
              <w:start w:w="0" w:type="dxa"/>
              <w:end w:w="0" w:type="dxa"/>
            </w:tcMar>
          </w:tcPr>
          <w:p>
            <w:pPr>
              <w:pStyle w:val="Normal"/>
              <w:snapToGrid w:val="false"/>
              <w:rPr/>
            </w:pPr>
            <w:r>
              <w:rPr/>
            </w:r>
          </w:p>
        </w:tc>
      </w:tr>
      <w:tr>
        <w:trPr/>
        <w:tc>
          <w:tcPr>
            <w:tcW w:w="5148" w:type="dxa"/>
            <w:tcBorders/>
          </w:tcPr>
          <w:p>
            <w:pPr>
              <w:pStyle w:val="Normal"/>
              <w:snapToGrid w:val="false"/>
              <w:spacing w:lineRule="auto" w:line="720"/>
              <w:jc w:val="both"/>
              <w:rPr/>
            </w:pPr>
            <w:r>
              <w:rPr/>
            </w:r>
          </w:p>
        </w:tc>
        <w:tc>
          <w:tcPr>
            <w:tcW w:w="4320" w:type="dxa"/>
            <w:tcBorders/>
          </w:tcPr>
          <w:p>
            <w:pPr>
              <w:pStyle w:val="Normal"/>
              <w:spacing w:lineRule="auto" w:line="720"/>
              <w:jc w:val="center"/>
              <w:rPr/>
            </w:pPr>
            <w:r>
              <w:rPr/>
              <w:t>"Customer"</w:t>
            </w:r>
          </w:p>
        </w:tc>
        <w:tc>
          <w:tcPr>
            <w:tcW w:w="115" w:type="dxa"/>
            <w:tcBorders/>
            <w:tcMar>
              <w:start w:w="0" w:type="dxa"/>
              <w:end w:w="0" w:type="dxa"/>
            </w:tcMar>
          </w:tcPr>
          <w:p>
            <w:pPr>
              <w:pStyle w:val="Normal"/>
              <w:snapToGrid w:val="false"/>
              <w:rPr/>
            </w:pPr>
            <w:r>
              <w:rPr/>
            </w:r>
          </w:p>
        </w:tc>
      </w:tr>
    </w:tbl>
    <w:p>
      <w:pPr>
        <w:pStyle w:val="Header"/>
        <w:tabs>
          <w:tab w:val="clear" w:pos="4320"/>
          <w:tab w:val="clear" w:pos="8640"/>
        </w:tabs>
        <w:spacing w:lineRule="auto" w:line="720"/>
        <w:rPr/>
      </w:pPr>
      <w:r>
        <w:rPr/>
      </w:r>
    </w:p>
    <w:p>
      <w:pPr>
        <w:pStyle w:val="Normal"/>
        <w:spacing w:lineRule="auto" w:line="720"/>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/mnt/main-storage/datasets/enron-docs/doc/Enron_Enfolio_Agmt_Draft_Chris.doc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b/>
        <w:sz w:val="28"/>
      </w:rPr>
    </w:pPr>
    <w:r>
      <w:rPr>
        <w:b/>
        <w:sz w:val="28"/>
      </w:rPr>
      <w:t>DRAFT –12-05-00</w:t>
    </w:r>
    <w:r>
      <mc:AlternateContent>
        <mc:Choice Requires="wps">
          <w:drawing>
            <wp:anchor behindDoc="0" distT="0" distB="0" distL="0" distR="0" simplePos="0" locked="0" layoutInCell="0" allowOverlap="1" relativeHeight="7">
              <wp:simplePos x="0" y="0"/>
              <wp:positionH relativeFrom="margin">
                <wp:align>right</wp:align>
              </wp:positionH>
              <wp:positionV relativeFrom="paragraph">
                <wp:posOffset>635</wp:posOffset>
              </wp:positionV>
              <wp:extent cx="70485" cy="160655"/>
              <wp:effectExtent l="0" t="0" r="0" b="0"/>
              <wp:wrapSquare wrapText="bothSides"/>
              <wp:docPr id="1" name="Frame1"/>
              <a:graphic xmlns:a="http://schemas.openxmlformats.org/drawingml/2006/main">
                <a:graphicData uri="http://schemas.microsoft.com/office/word/2010/wordprocessingShape">
                  <wps:wsp>
                    <wps:cNvSpPr txBox="1"/>
                    <wps:spPr>
                      <a:xfrm>
                        <a:off x="0" y="0"/>
                        <a:ext cx="70485" cy="16065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55pt;height:12.65pt;mso-wrap-distance-left:0pt;mso-wrap-distance-right:0pt;mso-wrap-distance-top:0pt;mso-wrap-distance-bottom:0pt;margin-top:0.05pt;mso-position-vertical-relative:text;margin-left:426.45pt;mso-position-horizontal:right;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ourier" w:hAnsi="Courier" w:cs="Courier"/>
      <w:sz w:val="26"/>
      <w:szCs w:val="20"/>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szCs w:val="20"/>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rFonts w:ascii="Courier" w:hAnsi="Courier" w:cs="Courier"/>
      <w:sz w:val="26"/>
      <w:szCs w:val="20"/>
    </w:rPr>
  </w:style>
  <w:style w:type="paragraph" w:styleId="Expanded">
    <w:name w:val="Expanded"/>
    <w:basedOn w:val="Normal"/>
    <w:next w:val="Normal"/>
    <w:qFormat/>
    <w:pPr>
      <w:spacing w:before="0" w:after="240"/>
      <w:jc w:val="center"/>
    </w:pPr>
    <w:rPr>
      <w:rFonts w:ascii="Courier" w:hAnsi="Courier" w:cs="Courier"/>
      <w:b/>
      <w:caps/>
      <w:spacing w:val="60"/>
      <w:sz w:val="26"/>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szCs w:val="20"/>
    </w:rPr>
  </w:style>
  <w:style w:type="paragraph" w:styleId="Footer">
    <w:name w:val="footer"/>
    <w:basedOn w:val="Normal"/>
    <w:pPr>
      <w:tabs>
        <w:tab w:val="clear" w:pos="720"/>
        <w:tab w:val="center" w:pos="4320" w:leader="none"/>
        <w:tab w:val="right" w:pos="8640" w:leader="none"/>
      </w:tabs>
    </w:pPr>
    <w:rPr>
      <w:sz w:val="22"/>
      <w:szCs w:val="20"/>
    </w:rPr>
  </w:style>
  <w:style w:type="paragraph" w:styleId="PlainText">
    <w:name w:val="Plain Text"/>
    <w:basedOn w:val="Normal"/>
    <w:qFormat/>
    <w:pPr/>
    <w:rPr>
      <w:rFonts w:ascii="Courier New" w:hAnsi="Courier New" w:cs="Courier New"/>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2000-12-08T12:56:00Z</dcterms:created>
  <dc:creator>dhyvl</dc:creator>
  <dc:description/>
  <dc:language>en-CA</dc:language>
  <cp:lastModifiedBy>cfoster</cp:lastModifiedBy>
  <cp:lastPrinted>2000-12-05T09:17:00Z</cp:lastPrinted>
  <dcterms:modified xsi:type="dcterms:W3CDTF">2000-12-08T12:56:00Z</dcterms:modified>
  <cp:revision>2</cp:revision>
  <dc:subject/>
  <dc:title>Amendment to ENFOLIO® Master Firm Purchase/Sale Agreement</dc:title>
</cp:coreProperties>
</file>