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bCs w:val="false"/>
        </w:rPr>
      </w:pPr>
      <w:r>
        <w:rPr>
          <w:b w:val="false"/>
          <w:bCs w:val="false"/>
        </w:rPr>
      </w:r>
    </w:p>
    <w:p>
      <w:pPr>
        <w:pStyle w:val="Normal"/>
        <w:rPr>
          <w:b/>
          <w:bCs/>
        </w:rPr>
      </w:pPr>
      <w:r>
        <w:rPr>
          <w:b/>
          <w:bCs/>
        </w:rPr>
      </w:r>
    </w:p>
    <w:p>
      <w:pPr>
        <w:pStyle w:val="Normal"/>
        <w:rPr/>
      </w:pPr>
      <w:r>
        <w:rPr/>
      </w:r>
    </w:p>
    <w:p>
      <w:pPr>
        <w:pStyle w:val="Normal"/>
        <w:rPr/>
      </w:pPr>
      <w:r>
        <w:rPr/>
        <w:t>February 14, 2001</w:t>
      </w:r>
    </w:p>
    <w:p>
      <w:pPr>
        <w:pStyle w:val="Normal"/>
        <w:rPr/>
      </w:pPr>
      <w:r>
        <w:rPr/>
      </w:r>
    </w:p>
    <w:p>
      <w:pPr>
        <w:pStyle w:val="Normal"/>
        <w:rPr/>
      </w:pPr>
      <w:r>
        <w:rPr/>
        <w:t>Mr. Fred Mitro</w:t>
      </w:r>
    </w:p>
    <w:p>
      <w:pPr>
        <w:pStyle w:val="Normal"/>
        <w:rPr/>
      </w:pPr>
      <w:r>
        <w:rPr/>
        <w:t>Director</w:t>
      </w:r>
    </w:p>
    <w:p>
      <w:pPr>
        <w:pStyle w:val="Normal"/>
        <w:rPr/>
      </w:pPr>
      <w:r>
        <w:rPr/>
        <w:t>Enron North America Corporation</w:t>
      </w:r>
    </w:p>
    <w:p>
      <w:pPr>
        <w:pStyle w:val="Normal"/>
        <w:rPr/>
      </w:pPr>
      <w:r>
        <w:rPr/>
        <w:t>Post Office Box 1188</w:t>
      </w:r>
    </w:p>
    <w:p>
      <w:pPr>
        <w:pStyle w:val="Normal"/>
        <w:rPr/>
      </w:pPr>
      <w:r>
        <w:rPr/>
        <w:t>Houston, Texas 77251-1188</w:t>
      </w:r>
    </w:p>
    <w:p>
      <w:pPr>
        <w:pStyle w:val="Header"/>
        <w:tabs>
          <w:tab w:val="clear" w:pos="4320"/>
          <w:tab w:val="clear" w:pos="8640"/>
        </w:tabs>
        <w:rPr/>
      </w:pPr>
      <w:r>
        <w:rPr/>
      </w:r>
    </w:p>
    <w:p>
      <w:pPr>
        <w:pStyle w:val="Normal"/>
        <w:rPr/>
      </w:pPr>
      <w:r>
        <w:rPr/>
        <w:t>Subject:</w:t>
        <w:tab/>
        <w:t>Due Diligence requests and questions relating to Kendall, IL</w:t>
      </w:r>
    </w:p>
    <w:p>
      <w:pPr>
        <w:pStyle w:val="Normal"/>
        <w:rPr/>
      </w:pPr>
      <w:r>
        <w:rPr/>
      </w:r>
    </w:p>
    <w:p>
      <w:pPr>
        <w:pStyle w:val="Normal"/>
        <w:rPr/>
      </w:pPr>
      <w:r>
        <w:rPr/>
        <w:t>Dear Mr. Mitro:</w:t>
      </w:r>
    </w:p>
    <w:p>
      <w:pPr>
        <w:pStyle w:val="Normal"/>
        <w:rPr/>
      </w:pPr>
      <w:r>
        <w:rPr/>
      </w:r>
    </w:p>
    <w:p>
      <w:pPr>
        <w:pStyle w:val="Normal"/>
        <w:jc w:val="both"/>
        <w:rPr/>
      </w:pPr>
      <w:r>
        <w:rPr/>
        <w:t>The following is a list of further documentation and questions pertaining to the Great Plains Energy Center project in Kendall County, IL.  Our attorneys are currently preparing the comments to the Purchase Agreement and I will be sending those along later today.</w:t>
      </w:r>
    </w:p>
    <w:p>
      <w:pPr>
        <w:pStyle w:val="Normal"/>
        <w:jc w:val="both"/>
        <w:rPr/>
      </w:pPr>
      <w:r>
        <w:rPr/>
      </w:r>
    </w:p>
    <w:p>
      <w:pPr>
        <w:pStyle w:val="Heading1"/>
        <w:ind w:hanging="0" w:start="0"/>
        <w:jc w:val="both"/>
        <w:rPr/>
      </w:pPr>
      <w:r>
        <w:rPr/>
        <w:t>Documentation Requests</w:t>
      </w:r>
    </w:p>
    <w:p>
      <w:pPr>
        <w:pStyle w:val="Normal"/>
        <w:jc w:val="both"/>
        <w:rPr/>
      </w:pPr>
      <w:r>
        <w:rPr/>
      </w:r>
    </w:p>
    <w:p>
      <w:pPr>
        <w:pStyle w:val="Normal"/>
        <w:numPr>
          <w:ilvl w:val="0"/>
          <w:numId w:val="2"/>
        </w:numPr>
        <w:jc w:val="both"/>
        <w:rPr/>
      </w:pPr>
      <w:r>
        <w:rPr/>
        <w:t>ComEd Interconnection Agreement and any and all correspondence relating to terms, pricing and notices to proceed</w:t>
      </w:r>
    </w:p>
    <w:p>
      <w:pPr>
        <w:pStyle w:val="Normal"/>
        <w:jc w:val="both"/>
        <w:rPr/>
      </w:pPr>
      <w:r>
        <w:rPr/>
      </w:r>
    </w:p>
    <w:p>
      <w:pPr>
        <w:pStyle w:val="Normal"/>
        <w:numPr>
          <w:ilvl w:val="0"/>
          <w:numId w:val="2"/>
        </w:numPr>
        <w:jc w:val="both"/>
        <w:rPr/>
      </w:pPr>
      <w:r>
        <w:rPr/>
        <w:t>ComEd “Network Resource” Designation Request and Confirmation</w:t>
      </w:r>
    </w:p>
    <w:p>
      <w:pPr>
        <w:pStyle w:val="Normal"/>
        <w:jc w:val="both"/>
        <w:rPr/>
      </w:pPr>
      <w:r>
        <w:rPr/>
      </w:r>
    </w:p>
    <w:p>
      <w:pPr>
        <w:pStyle w:val="Normal"/>
        <w:numPr>
          <w:ilvl w:val="0"/>
          <w:numId w:val="2"/>
        </w:numPr>
        <w:jc w:val="both"/>
        <w:rPr/>
      </w:pPr>
      <w:r>
        <w:rPr/>
        <w:t xml:space="preserve">ANR Pipeline Proposal and any and all correspondence relating to the pipeline </w:t>
      </w:r>
    </w:p>
    <w:p>
      <w:pPr>
        <w:pStyle w:val="Normal"/>
        <w:jc w:val="both"/>
        <w:rPr/>
      </w:pPr>
      <w:r>
        <w:rPr/>
      </w:r>
    </w:p>
    <w:p>
      <w:pPr>
        <w:pStyle w:val="Normal"/>
        <w:numPr>
          <w:ilvl w:val="0"/>
          <w:numId w:val="2"/>
        </w:numPr>
        <w:jc w:val="both"/>
        <w:rPr/>
      </w:pPr>
      <w:r>
        <w:rPr/>
        <w:t>LLC Agreement and any other organizational documents</w:t>
      </w:r>
    </w:p>
    <w:p>
      <w:pPr>
        <w:pStyle w:val="Normal"/>
        <w:jc w:val="both"/>
        <w:rPr/>
      </w:pPr>
      <w:r>
        <w:rPr/>
      </w:r>
    </w:p>
    <w:p>
      <w:pPr>
        <w:pStyle w:val="Normal"/>
        <w:numPr>
          <w:ilvl w:val="0"/>
          <w:numId w:val="2"/>
        </w:numPr>
        <w:jc w:val="both"/>
        <w:rPr/>
      </w:pPr>
      <w:r>
        <w:rPr/>
        <w:t>Konicek property Title Report</w:t>
      </w:r>
    </w:p>
    <w:p>
      <w:pPr>
        <w:pStyle w:val="Normal"/>
        <w:jc w:val="both"/>
        <w:rPr/>
      </w:pPr>
      <w:r>
        <w:rPr/>
      </w:r>
    </w:p>
    <w:p>
      <w:pPr>
        <w:pStyle w:val="Normal"/>
        <w:numPr>
          <w:ilvl w:val="0"/>
          <w:numId w:val="2"/>
        </w:numPr>
        <w:jc w:val="both"/>
        <w:rPr/>
      </w:pPr>
      <w:r>
        <w:rPr/>
        <w:t>Document and Disclosure Schedule referred to in Section 9 of the Option Agreement</w:t>
      </w:r>
    </w:p>
    <w:p>
      <w:pPr>
        <w:pStyle w:val="Normal"/>
        <w:jc w:val="both"/>
        <w:rPr/>
      </w:pPr>
      <w:r>
        <w:rPr/>
      </w:r>
    </w:p>
    <w:p>
      <w:pPr>
        <w:pStyle w:val="Normal"/>
        <w:numPr>
          <w:ilvl w:val="0"/>
          <w:numId w:val="2"/>
        </w:numPr>
        <w:jc w:val="both"/>
        <w:rPr/>
      </w:pPr>
      <w:r>
        <w:rPr/>
        <w:t>Letter Agreement referred to in Section 10(a) of the Option Agreement</w:t>
      </w:r>
    </w:p>
    <w:p>
      <w:pPr>
        <w:pStyle w:val="Normal"/>
        <w:jc w:val="both"/>
        <w:rPr/>
      </w:pPr>
      <w:r>
        <w:rPr/>
      </w:r>
    </w:p>
    <w:p>
      <w:pPr>
        <w:pStyle w:val="Normal"/>
        <w:numPr>
          <w:ilvl w:val="0"/>
          <w:numId w:val="2"/>
        </w:numPr>
        <w:jc w:val="both"/>
        <w:rPr/>
      </w:pPr>
      <w:r>
        <w:rPr/>
        <w:t>Broker’s commission for Julien Studley</w:t>
      </w:r>
    </w:p>
    <w:p>
      <w:pPr>
        <w:pStyle w:val="Normal"/>
        <w:jc w:val="both"/>
        <w:rPr/>
      </w:pPr>
      <w:r>
        <w:rPr/>
      </w:r>
    </w:p>
    <w:p>
      <w:pPr>
        <w:pStyle w:val="Normal"/>
        <w:numPr>
          <w:ilvl w:val="0"/>
          <w:numId w:val="2"/>
        </w:numPr>
        <w:jc w:val="both"/>
        <w:rPr/>
      </w:pPr>
      <w:r>
        <w:rPr/>
        <w:t>Confirmation of written notice and compensation for extension of Option Agreement</w:t>
      </w:r>
    </w:p>
    <w:p>
      <w:pPr>
        <w:pStyle w:val="Normal"/>
        <w:jc w:val="both"/>
        <w:rPr/>
      </w:pPr>
      <w:r>
        <w:rPr/>
      </w:r>
    </w:p>
    <w:p>
      <w:pPr>
        <w:pStyle w:val="Heading1"/>
        <w:ind w:hanging="0" w:start="0"/>
        <w:jc w:val="both"/>
        <w:rPr/>
      </w:pPr>
      <w:r>
        <w:rPr/>
      </w:r>
    </w:p>
    <w:p>
      <w:pPr>
        <w:pStyle w:val="Heading1"/>
        <w:ind w:hanging="0" w:start="0"/>
        <w:jc w:val="both"/>
        <w:rPr/>
      </w:pPr>
      <w:r>
        <w:rPr/>
      </w:r>
    </w:p>
    <w:p>
      <w:pPr>
        <w:pStyle w:val="Heading1"/>
        <w:ind w:hanging="0" w:start="0"/>
        <w:jc w:val="both"/>
        <w:rPr/>
      </w:pPr>
      <w:r>
        <w:rPr/>
      </w:r>
    </w:p>
    <w:p>
      <w:pPr>
        <w:pStyle w:val="Heading1"/>
        <w:ind w:hanging="0" w:start="0"/>
        <w:jc w:val="both"/>
        <w:rPr/>
      </w:pPr>
      <w:r>
        <w:rPr/>
        <w:t>Questions/Clarifications</w:t>
      </w:r>
    </w:p>
    <w:p>
      <w:pPr>
        <w:pStyle w:val="Normal"/>
        <w:jc w:val="both"/>
        <w:rPr/>
      </w:pPr>
      <w:r>
        <w:rPr/>
      </w:r>
    </w:p>
    <w:p>
      <w:pPr>
        <w:pStyle w:val="Normal"/>
        <w:numPr>
          <w:ilvl w:val="0"/>
          <w:numId w:val="3"/>
        </w:numPr>
        <w:jc w:val="both"/>
        <w:rPr/>
      </w:pPr>
      <w:r>
        <w:rPr/>
        <w:t>PSEG is requesting an exclusivity period on the Kendall transaction.  While we discussed this issue yesterday on the phone, PSEG would prefer to execute a side letter, stating that in return for a non-refundable $300,000 down payment, PSEG would be given a 30 day exclusivity period to complete due diligence and execute the definitive purchase documents.  We firmly believe this letter could be done in a day and PSEG would provide a schedule of activities for the thirty-day period and a stipulation of the purchase price.  PSEG would prefer to do this in a one-page side letter agreement rather than negotiating the purchase documents.</w:t>
      </w:r>
    </w:p>
    <w:p>
      <w:pPr>
        <w:pStyle w:val="Normal"/>
        <w:jc w:val="both"/>
        <w:rPr/>
      </w:pPr>
      <w:r>
        <w:rPr/>
      </w:r>
    </w:p>
    <w:p>
      <w:pPr>
        <w:pStyle w:val="Normal"/>
        <w:numPr>
          <w:ilvl w:val="0"/>
          <w:numId w:val="3"/>
        </w:numPr>
        <w:jc w:val="both"/>
        <w:rPr/>
      </w:pPr>
      <w:r>
        <w:rPr/>
        <w:t>Some contracts are signed in the name of Enron Capital &amp; Trade and others in the name of Enron North America.  Please clarify the corporate structure and why two separate entities are signing for Kendall.</w:t>
      </w:r>
    </w:p>
    <w:p>
      <w:pPr>
        <w:pStyle w:val="Normal"/>
        <w:jc w:val="both"/>
        <w:rPr/>
      </w:pPr>
      <w:r>
        <w:rPr/>
      </w:r>
    </w:p>
    <w:p>
      <w:pPr>
        <w:pStyle w:val="Normal"/>
        <w:numPr>
          <w:ilvl w:val="0"/>
          <w:numId w:val="3"/>
        </w:numPr>
        <w:jc w:val="both"/>
        <w:rPr/>
      </w:pPr>
      <w:r>
        <w:rPr/>
        <w:t>Please clarify the statement in the Special Use Permit limiting operation to 50% of all available hours.  Does the available hours refer to the 3,300 hour limit or all hours in the year?</w:t>
      </w:r>
    </w:p>
    <w:p>
      <w:pPr>
        <w:pStyle w:val="Normal"/>
        <w:jc w:val="both"/>
        <w:rPr/>
      </w:pPr>
      <w:r>
        <w:rPr/>
      </w:r>
    </w:p>
    <w:p>
      <w:pPr>
        <w:pStyle w:val="Normal"/>
        <w:jc w:val="both"/>
        <w:rPr/>
      </w:pPr>
      <w:r>
        <w:rPr/>
        <w:t>Questions 4-8 pertain to the Annexation Agreement:</w:t>
      </w:r>
    </w:p>
    <w:p>
      <w:pPr>
        <w:pStyle w:val="Normal"/>
        <w:jc w:val="both"/>
        <w:rPr/>
      </w:pPr>
      <w:r>
        <w:rPr/>
      </w:r>
    </w:p>
    <w:p>
      <w:pPr>
        <w:pStyle w:val="Normal"/>
        <w:numPr>
          <w:ilvl w:val="0"/>
          <w:numId w:val="3"/>
        </w:numPr>
        <w:jc w:val="both"/>
        <w:rPr/>
      </w:pPr>
      <w:r>
        <w:rPr/>
        <w:t>Who initiated the development of this agreement?  If Enron, please outline the reasons, or if Yorkville, please outline the reasons.</w:t>
      </w:r>
    </w:p>
    <w:p>
      <w:pPr>
        <w:pStyle w:val="Normal"/>
        <w:jc w:val="both"/>
        <w:rPr/>
      </w:pPr>
      <w:r>
        <w:rPr/>
      </w:r>
    </w:p>
    <w:p>
      <w:pPr>
        <w:pStyle w:val="Normal"/>
        <w:numPr>
          <w:ilvl w:val="0"/>
          <w:numId w:val="3"/>
        </w:numPr>
        <w:jc w:val="both"/>
        <w:rPr/>
      </w:pPr>
      <w:r>
        <w:rPr/>
        <w:t>The agreement contemplates annexation after commercial operations.  What happens if annexation occurs while the facility is in development?</w:t>
      </w:r>
    </w:p>
    <w:p>
      <w:pPr>
        <w:pStyle w:val="Normal"/>
        <w:jc w:val="both"/>
        <w:rPr/>
      </w:pPr>
      <w:r>
        <w:rPr/>
      </w:r>
    </w:p>
    <w:p>
      <w:pPr>
        <w:pStyle w:val="Normal"/>
        <w:numPr>
          <w:ilvl w:val="0"/>
          <w:numId w:val="3"/>
        </w:numPr>
        <w:jc w:val="both"/>
        <w:rPr/>
      </w:pPr>
      <w:r>
        <w:rPr/>
        <w:t>Does Yorkville have a specific annexation plan?</w:t>
      </w:r>
    </w:p>
    <w:p>
      <w:pPr>
        <w:pStyle w:val="Normal"/>
        <w:jc w:val="both"/>
        <w:rPr/>
      </w:pPr>
      <w:r>
        <w:rPr/>
      </w:r>
    </w:p>
    <w:p>
      <w:pPr>
        <w:pStyle w:val="Normal"/>
        <w:numPr>
          <w:ilvl w:val="0"/>
          <w:numId w:val="3"/>
        </w:numPr>
        <w:jc w:val="both"/>
        <w:rPr/>
      </w:pPr>
      <w:r>
        <w:rPr/>
        <w:t>What is the intent of the agreement on jurisdiction and approvals prior to commercial operation date?</w:t>
      </w:r>
    </w:p>
    <w:p>
      <w:pPr>
        <w:pStyle w:val="Normal"/>
        <w:jc w:val="both"/>
        <w:rPr/>
      </w:pPr>
      <w:r>
        <w:rPr/>
      </w:r>
    </w:p>
    <w:p>
      <w:pPr>
        <w:pStyle w:val="Normal"/>
        <w:numPr>
          <w:ilvl w:val="0"/>
          <w:numId w:val="3"/>
        </w:numPr>
        <w:jc w:val="both"/>
        <w:rPr/>
      </w:pPr>
      <w:r>
        <w:rPr/>
        <w:t>Does Yorkville intend to exercise jurisdiction prior to annexation?  (Illinois statute allows the exercise of jurisdiction even though the property is not contiguous and has not been annexed.)</w:t>
      </w:r>
    </w:p>
    <w:p>
      <w:pPr>
        <w:pStyle w:val="Normal"/>
        <w:jc w:val="both"/>
        <w:rPr/>
      </w:pPr>
      <w:r>
        <w:rPr/>
      </w:r>
    </w:p>
    <w:p>
      <w:pPr>
        <w:pStyle w:val="Normal"/>
        <w:jc w:val="both"/>
        <w:rPr/>
      </w:pPr>
      <w:r>
        <w:rPr/>
        <w:t>Questions 9-11 pertain to the PSD Construction Permit:</w:t>
      </w:r>
    </w:p>
    <w:p>
      <w:pPr>
        <w:pStyle w:val="Normal"/>
        <w:jc w:val="both"/>
        <w:rPr/>
      </w:pPr>
      <w:r>
        <w:rPr/>
      </w:r>
    </w:p>
    <w:p>
      <w:pPr>
        <w:pStyle w:val="Normal"/>
        <w:numPr>
          <w:ilvl w:val="0"/>
          <w:numId w:val="3"/>
        </w:numPr>
        <w:jc w:val="both"/>
        <w:rPr/>
      </w:pPr>
      <w:r>
        <w:rPr/>
        <w:t>Why was the facility permitted for 8 GT’s rather than the 10 GT’s as in the SPU?</w:t>
      </w:r>
    </w:p>
    <w:p>
      <w:pPr>
        <w:pStyle w:val="Normal"/>
        <w:jc w:val="both"/>
        <w:rPr/>
      </w:pPr>
      <w:r>
        <w:rPr/>
      </w:r>
    </w:p>
    <w:p>
      <w:pPr>
        <w:pStyle w:val="Normal"/>
        <w:numPr>
          <w:ilvl w:val="0"/>
          <w:numId w:val="3"/>
        </w:numPr>
        <w:jc w:val="both"/>
        <w:rPr/>
      </w:pPr>
      <w:r>
        <w:rPr/>
        <w:t>What, if anything, has been done in preparation of the new standards pertaining to NOx trading allowances recently adopted by the IEPA?  How is the facility affected by the new NOx trading rules for Electric Generating Units?  What plans, if any, does the project have to deal with the new NOx budgets?</w:t>
      </w:r>
    </w:p>
    <w:p>
      <w:pPr>
        <w:pStyle w:val="Normal"/>
        <w:jc w:val="both"/>
        <w:rPr/>
      </w:pPr>
      <w:r>
        <w:rPr/>
      </w:r>
    </w:p>
    <w:p>
      <w:pPr>
        <w:pStyle w:val="Normal"/>
        <w:numPr>
          <w:ilvl w:val="0"/>
          <w:numId w:val="3"/>
        </w:numPr>
        <w:jc w:val="both"/>
        <w:rPr/>
      </w:pPr>
      <w:r>
        <w:rPr/>
        <w:t>Given the 18 month schedule in the PSD permit, were there any delays in the project that kept a construction program from starting sooner?</w:t>
      </w:r>
    </w:p>
    <w:p>
      <w:pPr>
        <w:pStyle w:val="Normal"/>
        <w:jc w:val="both"/>
        <w:rPr/>
      </w:pPr>
      <w:r>
        <w:rPr/>
      </w:r>
    </w:p>
    <w:p>
      <w:pPr>
        <w:pStyle w:val="Normal"/>
        <w:numPr>
          <w:ilvl w:val="0"/>
          <w:numId w:val="3"/>
        </w:numPr>
        <w:jc w:val="both"/>
        <w:rPr/>
      </w:pPr>
      <w:r>
        <w:rPr/>
        <w:t>Is there an existing ANR pipeline meter station that ANR is proposing to tap for the purposes of supplying the plant?  Has ANR identified a route for the pipe interconnection?  Has ANR estimated a length of time for the installation?</w:t>
      </w:r>
    </w:p>
    <w:p>
      <w:pPr>
        <w:pStyle w:val="Normal"/>
        <w:jc w:val="both"/>
        <w:rPr/>
      </w:pPr>
      <w:r>
        <w:rPr/>
      </w:r>
    </w:p>
    <w:p>
      <w:pPr>
        <w:pStyle w:val="Normal"/>
        <w:numPr>
          <w:ilvl w:val="0"/>
          <w:numId w:val="3"/>
        </w:numPr>
        <w:jc w:val="both"/>
        <w:rPr/>
      </w:pPr>
      <w:r>
        <w:rPr/>
        <w:t>Have any noise studies been done?  Has any engineering been performed in facility design to meet noise criteria listed in the SPU?</w:t>
      </w:r>
    </w:p>
    <w:p>
      <w:pPr>
        <w:pStyle w:val="Normal"/>
        <w:jc w:val="both"/>
        <w:rPr/>
      </w:pPr>
      <w:r>
        <w:rPr/>
      </w:r>
    </w:p>
    <w:p>
      <w:pPr>
        <w:pStyle w:val="Normal"/>
        <w:numPr>
          <w:ilvl w:val="0"/>
          <w:numId w:val="3"/>
        </w:numPr>
        <w:jc w:val="both"/>
        <w:rPr/>
      </w:pPr>
      <w:r>
        <w:rPr/>
        <w:t xml:space="preserve">What is the proposed use of the Detention Pond and why was it put in the design?  Why has it been designed as large as it appears in the documentation?  Does the County have any plans for use of the Detention Pond?  </w:t>
      </w:r>
    </w:p>
    <w:p>
      <w:pPr>
        <w:pStyle w:val="Normal"/>
        <w:jc w:val="both"/>
        <w:rPr/>
      </w:pPr>
      <w:r>
        <w:rPr/>
      </w:r>
    </w:p>
    <w:p>
      <w:pPr>
        <w:pStyle w:val="Normal"/>
        <w:numPr>
          <w:ilvl w:val="0"/>
          <w:numId w:val="3"/>
        </w:numPr>
        <w:jc w:val="both"/>
        <w:rPr/>
      </w:pPr>
      <w:r>
        <w:rPr/>
        <w:t>What, if anything, has been done on property tax issues?</w:t>
      </w:r>
    </w:p>
    <w:p>
      <w:pPr>
        <w:pStyle w:val="Normal"/>
        <w:jc w:val="both"/>
        <w:rPr/>
      </w:pPr>
      <w:r>
        <w:rPr/>
      </w:r>
    </w:p>
    <w:p>
      <w:pPr>
        <w:pStyle w:val="Normal"/>
        <w:numPr>
          <w:ilvl w:val="0"/>
          <w:numId w:val="3"/>
        </w:numPr>
        <w:jc w:val="both"/>
        <w:rPr/>
      </w:pPr>
      <w:r>
        <w:rPr/>
        <w:t>Have there been any discussions or agreements made with local labor unions pertaining to the project?</w:t>
      </w:r>
    </w:p>
    <w:p>
      <w:pPr>
        <w:pStyle w:val="Normal"/>
        <w:jc w:val="both"/>
        <w:rPr/>
      </w:pPr>
      <w:r>
        <w:rPr/>
      </w:r>
    </w:p>
    <w:p>
      <w:pPr>
        <w:pStyle w:val="Normal"/>
        <w:jc w:val="both"/>
        <w:rPr/>
      </w:pPr>
      <w:r>
        <w:rPr/>
        <w:t>I appreciate your continued attention in moving this transaction to closure quickly.  Should you have any questions or require clarification on any items contained herein, please do not hesitate to call me at (973) 430-8322.  Thank you.</w:t>
      </w:r>
    </w:p>
    <w:p>
      <w:pPr>
        <w:pStyle w:val="Normal"/>
        <w:jc w:val="both"/>
        <w:rPr/>
      </w:pPr>
      <w:r>
        <w:rPr/>
      </w:r>
    </w:p>
    <w:p>
      <w:pPr>
        <w:pStyle w:val="Normal"/>
        <w:jc w:val="both"/>
        <w:rPr/>
      </w:pPr>
      <w:r>
        <w:rPr/>
      </w:r>
    </w:p>
    <w:p>
      <w:pPr>
        <w:pStyle w:val="Normal"/>
        <w:jc w:val="both"/>
        <w:rPr/>
      </w:pPr>
      <w:r>
        <w:rPr/>
        <w:t>Sincerely,</w:t>
      </w:r>
    </w:p>
    <w:p>
      <w:pPr>
        <w:pStyle w:val="Normal"/>
        <w:jc w:val="both"/>
        <w:rPr/>
      </w:pPr>
      <w:r>
        <w:rPr/>
      </w:r>
    </w:p>
    <w:p>
      <w:pPr>
        <w:pStyle w:val="Normal"/>
        <w:jc w:val="both"/>
        <w:rPr/>
      </w:pPr>
      <w:r>
        <w:rPr/>
      </w:r>
    </w:p>
    <w:p>
      <w:pPr>
        <w:pStyle w:val="Normal"/>
        <w:jc w:val="both"/>
        <w:rPr/>
      </w:pPr>
      <w:r>
        <w:rPr/>
      </w:r>
    </w:p>
    <w:p>
      <w:pPr>
        <w:pStyle w:val="Normal"/>
        <w:jc w:val="both"/>
        <w:rPr/>
      </w:pPr>
      <w:r>
        <w:rPr/>
        <w:t>Andrew E. Gilbert</w:t>
      </w:r>
    </w:p>
    <w:p>
      <w:pPr>
        <w:pStyle w:val="Normal"/>
        <w:jc w:val="both"/>
        <w:rPr/>
      </w:pPr>
      <w:r>
        <w:rPr/>
        <w:t>Director-Development</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ENA Kendall Questions</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3</w:t>
    </w:r>
  </w:p>
  <w:p>
    <w:pPr>
      <w:pStyle w:val="Footer"/>
      <w:rPr/>
    </w:pPr>
    <w:r>
      <w:rPr>
        <w:rStyle w:val="PageNumber"/>
      </w:rPr>
      <w:fldChar w:fldCharType="begin"/>
    </w:r>
    <w:r>
      <w:rPr>
        <w:rStyle w:val="PageNumber"/>
      </w:rPr>
      <w:instrText xml:space="preserve"> DATE \@"MMMM\ dd', 'yyyy" </w:instrText>
    </w:r>
    <w:r>
      <w:rPr>
        <w:rStyle w:val="PageNumber"/>
      </w:rPr>
      <w:fldChar w:fldCharType="separate"/>
    </w:r>
    <w:r>
      <w:rPr>
        <w:rStyle w:val="PageNumber"/>
      </w:rPr>
      <w:t>September 28, 2025</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2001-02-14T14:10:00Z</dcterms:created>
  <dc:creator>PSEG</dc:creator>
  <dc:description/>
  <dc:language>en-CA</dc:language>
  <cp:lastModifiedBy>PSEG</cp:lastModifiedBy>
  <dcterms:modified xsi:type="dcterms:W3CDTF">2001-02-14T14:43:00Z</dcterms:modified>
  <cp:revision>5</cp:revision>
  <dc:subject/>
  <dc:title>Enron Due Diligence</dc:title>
</cp:coreProperties>
</file>