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tab/>
        <w:tab/>
        <w:tab/>
        <w:tab/>
        <w:tab/>
        <w:tab/>
        <w:tab/>
        <w:tab/>
        <w:tab/>
        <w:tab/>
        <w:t>DRAFT</w:t>
      </w:r>
    </w:p>
    <w:p>
      <w:pPr>
        <w:pStyle w:val="Normal"/>
        <w:rPr>
          <w:b/>
          <w:sz w:val="40"/>
        </w:rPr>
      </w:pPr>
      <w:r>
        <w:rPr>
          <w:b/>
          <w:sz w:val="40"/>
        </w:rPr>
      </w:r>
    </w:p>
    <w:p>
      <w:pPr>
        <w:pStyle w:val="Normal"/>
        <w:jc w:val="center"/>
        <w:rPr>
          <w:b/>
        </w:rPr>
      </w:pPr>
      <w:r>
        <w:rPr>
          <w:b/>
        </w:rPr>
        <w:t>CONFIDENTIALITY AGREEMENT</w:t>
      </w:r>
    </w:p>
    <w:p>
      <w:pPr>
        <w:pStyle w:val="Normal"/>
        <w:jc w:val="center"/>
        <w:rPr>
          <w:b/>
        </w:rPr>
      </w:pPr>
      <w:r>
        <w:rPr>
          <w:b/>
        </w:rPr>
      </w:r>
    </w:p>
    <w:p>
      <w:pPr>
        <w:pStyle w:val="Normal"/>
        <w:jc w:val="center"/>
        <w:rPr>
          <w:b/>
        </w:rPr>
      </w:pPr>
      <w:r>
        <w:rPr>
          <w:b/>
        </w:rPr>
      </w:r>
    </w:p>
    <w:p>
      <w:pPr>
        <w:pStyle w:val="Normal"/>
        <w:rPr>
          <w:b/>
        </w:rPr>
      </w:pPr>
      <w:r>
        <w:rPr>
          <w:b/>
        </w:rPr>
      </w:r>
    </w:p>
    <w:p>
      <w:pPr>
        <w:pStyle w:val="Normal"/>
        <w:ind w:firstLine="720" w:end="0"/>
        <w:rPr/>
      </w:pPr>
      <w:r>
        <w:rPr>
          <w:b/>
        </w:rPr>
        <w:t xml:space="preserve">THIS AGREEMENT </w:t>
      </w:r>
      <w:r>
        <w:rPr/>
        <w:t xml:space="preserve">is made and entered into this </w:t>
      </w:r>
      <w:r>
        <w:rPr>
          <w:u w:val="single"/>
        </w:rPr>
        <w:t xml:space="preserve">              </w:t>
      </w:r>
      <w:r>
        <w:rPr/>
        <w:t xml:space="preserve"> day of </w:t>
      </w:r>
      <w:r>
        <w:rPr>
          <w:u w:val="single"/>
        </w:rPr>
        <w:t xml:space="preserve">                       </w:t>
      </w:r>
      <w:r>
        <w:rPr/>
        <w:t xml:space="preserve">, 2000 between </w:t>
      </w:r>
      <w:r>
        <w:rPr>
          <w:b/>
        </w:rPr>
        <w:t xml:space="preserve">TRI-STATE GENERATION AND TRANSMISSION ASSOCIATION, INC. </w:t>
      </w:r>
      <w:r>
        <w:rPr/>
        <w:t xml:space="preserve">a Colorado cooperative corporation ("Tri-State"), and </w:t>
      </w:r>
      <w:r>
        <w:rPr>
          <w:b/>
        </w:rPr>
        <w:t xml:space="preserve">ECS COMPRESSION COMPANY, L.L.C. </w:t>
      </w:r>
      <w:r>
        <w:rPr/>
        <w:t xml:space="preserve">a Delaware limited liability company and </w:t>
      </w:r>
      <w:r>
        <w:rPr>
          <w:b/>
        </w:rPr>
        <w:t xml:space="preserve">TRANSWESTERN PIPELINE COMPANY </w:t>
      </w:r>
      <w:r>
        <w:rPr/>
        <w:t>a Delaware corporation, (collectively "Enron").</w:t>
      </w:r>
    </w:p>
    <w:p>
      <w:pPr>
        <w:pStyle w:val="Normal"/>
        <w:rPr/>
      </w:pPr>
      <w:r>
        <w:rPr/>
      </w:r>
    </w:p>
    <w:p>
      <w:pPr>
        <w:pStyle w:val="Normal"/>
        <w:ind w:firstLine="720" w:end="0"/>
        <w:rPr/>
      </w:pPr>
      <w:r>
        <w:rPr>
          <w:b/>
        </w:rPr>
        <w:t>WHEREAS</w:t>
      </w:r>
      <w:r>
        <w:rPr/>
        <w:t xml:space="preserve">, Enron has entered into a contract with Tri-State's Member Continental Divide Electric Cooperative, Inc.; </w:t>
      </w:r>
    </w:p>
    <w:p>
      <w:pPr>
        <w:pStyle w:val="Normal"/>
        <w:rPr/>
      </w:pPr>
      <w:r>
        <w:rPr/>
      </w:r>
    </w:p>
    <w:p>
      <w:pPr>
        <w:pStyle w:val="Normal"/>
        <w:ind w:firstLine="720" w:end="0"/>
        <w:rPr/>
      </w:pPr>
      <w:r>
        <w:rPr>
          <w:b/>
        </w:rPr>
        <w:t>WHEREAS</w:t>
      </w:r>
      <w:r>
        <w:rPr/>
        <w:t>, to further the purposes of the contract with Continental Divide, Enron wishes to have access to Tri-State's password protected website features;</w:t>
      </w:r>
    </w:p>
    <w:p>
      <w:pPr>
        <w:pStyle w:val="Normal"/>
        <w:rPr/>
      </w:pPr>
      <w:r>
        <w:rPr/>
      </w:r>
    </w:p>
    <w:p>
      <w:pPr>
        <w:pStyle w:val="Normal"/>
        <w:ind w:firstLine="720" w:end="0"/>
        <w:rPr/>
      </w:pPr>
      <w:r>
        <w:rPr>
          <w:b/>
        </w:rPr>
        <w:t>WHEREAS</w:t>
      </w:r>
      <w:r>
        <w:rPr/>
        <w:t>,</w:t>
      </w:r>
      <w:r>
        <w:rPr>
          <w:b/>
        </w:rPr>
        <w:t xml:space="preserve"> </w:t>
      </w:r>
      <w:r>
        <w:rPr/>
        <w:t>the information contained in Tri-State's password protected website features is confidential;  and</w:t>
      </w:r>
    </w:p>
    <w:p>
      <w:pPr>
        <w:pStyle w:val="Normal"/>
        <w:ind w:firstLine="720" w:end="0"/>
        <w:rPr/>
      </w:pPr>
      <w:r>
        <w:rPr/>
      </w:r>
    </w:p>
    <w:p>
      <w:pPr>
        <w:pStyle w:val="Normal"/>
        <w:ind w:firstLine="720" w:end="0"/>
        <w:rPr/>
      </w:pPr>
      <w:r>
        <w:rPr>
          <w:b/>
        </w:rPr>
        <w:t>WHEREAS</w:t>
      </w:r>
      <w:r>
        <w:rPr/>
        <w:t>, Tri-State wishes to protect Confidential Information (as hereinafter defined) against any unauthorized use or disclosure.</w:t>
      </w:r>
    </w:p>
    <w:p>
      <w:pPr>
        <w:pStyle w:val="Normal"/>
        <w:ind w:firstLine="720" w:end="0"/>
        <w:rPr>
          <w:b/>
        </w:rPr>
      </w:pPr>
      <w:r>
        <w:rPr>
          <w:b/>
        </w:rPr>
      </w:r>
    </w:p>
    <w:p>
      <w:pPr>
        <w:pStyle w:val="Normal"/>
        <w:ind w:firstLine="720" w:end="0"/>
        <w:rPr/>
      </w:pPr>
      <w:r>
        <w:rPr>
          <w:b/>
        </w:rPr>
        <w:t>NOW, THEREFORE</w:t>
      </w:r>
      <w:r>
        <w:rPr/>
        <w:t>, for good and valuable consideration, the receipt and sufficiency of which is hereby acknowledged, Tri-State and Enron hereby agree as follows:</w:t>
      </w:r>
    </w:p>
    <w:p>
      <w:pPr>
        <w:pStyle w:val="Normal"/>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1.</w:t>
        <w:tab/>
      </w:r>
      <w:r>
        <w:rPr>
          <w:u w:val="single"/>
        </w:rPr>
        <w:t>CONFIDENTIAL INFORMATION</w:t>
      </w:r>
      <w:r>
        <w:rPr/>
        <w:t>.</w:t>
        <w:tab/>
        <w:t>For purposes of this Agreement, "Confidential Information" means information or materials contained in the password protected areas of Tri-State's website, whether or not marked "Confidential", and any other information contained on the website or otherwise provided to Enron by Tri-State which is marked or identified as "Confidential", including, but not limited to, correspondence, trade secrets, financial information, investment information, financial or other operating projections and operating procedures or technical data, except if specifically excluded by paragraph 4 below.</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2.</w:t>
        <w:tab/>
      </w:r>
      <w:r>
        <w:rPr>
          <w:u w:val="single"/>
        </w:rPr>
        <w:t>OBLIGATION OF CONFIDENTIALITY</w:t>
      </w:r>
      <w:r>
        <w:rPr/>
        <w:t>.   Except as required by any law, governmental entity, court or tribunal of competent jurisdiction, Enron shall not disclose to any third party (other than Enron's attorneys, consultants, employees, representatives, agents or board members on a need to know basis for the specific purpose of controlling this compressor station’s loads against the Tri-State peak, who shall be under a duty of confidentiality and agree to be bound by the provisions of this Agreement) any Confidential Information supplied or made available by Tri-State, its attorneys, consultants, employees, representatives, agents or board members. Enron agrees that it will not use any Confidential Information for any purpose other than in connection with purpose set forth herein. Enron shall be strictly liable to Tri-State for any damages resulting from the breach of this Agreement by it, its attorneys, consultants, employees, representatives, agents or board members.  The obligations of Enron under this paragraph shall survive the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r>
    </w:p>
    <w:p>
      <w:pPr>
        <w:pStyle w:val="Normal"/>
        <w:keepNext w:val="true"/>
        <w:keepLines/>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 xml:space="preserve"> </w:t>
      </w:r>
      <w:r>
        <w:rPr/>
        <w:t>3.</w:t>
        <w:tab/>
      </w:r>
      <w:r>
        <w:rPr>
          <w:u w:val="single"/>
        </w:rPr>
        <w:t>REQUESTED DISCLOSURE</w:t>
      </w:r>
      <w:r>
        <w:rPr/>
        <w:t>.  In the event Enron receives a request to disclose any or all of the Confidential Information received from or made available by Tri-State, or to take any other action prohibited by the terms hereof, pursuant to a valid and effective subpoena, civil investigative or discovery demand, interrogatories, request for information or production of documents, order of a court or governmental entity or similar process, Enron shall promptly notify Tri-State in writing of the existence, terms and circumstances surrounding such request, so that Tri-State may seek a protective order or other appropriate remedy, or waive compliance with the terms of this Agreement as to such Confidential Information.  If such protective order or other remedy is not obtained prior to the date Enron is legally required to comply with any such request, or if Tri-State waives compliance with the terms hereof, Enron will furnish only that portion of the Confidential Information as is legally required.</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4.</w:t>
        <w:tab/>
      </w:r>
      <w:r>
        <w:rPr>
          <w:u w:val="single"/>
        </w:rPr>
        <w:t>INFORMATION FROM NONCONFIDENTIAL SOURCES</w:t>
      </w:r>
      <w:r>
        <w:rPr/>
        <w:t xml:space="preserve">.  Any information which: (a) at or prior to the time of disclosure is or thereafter becomes generally available to the public or to the industry through no breach of this Agreement, (b) was in the possession of the Enron on a non-confidential basis prior to its disclosure by Tri-State, or (c) Enron received from a third party, and in good faith believes such third party did not disseminate such information in breach of any legal obligation to Tri-State, shall not be deemed Confidential Information for purposes hereof, and the obligations contained herein with respect to Confidential Information shall not apply. </w:t>
        <w:tab/>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5.</w:t>
        <w:tab/>
      </w:r>
      <w:r>
        <w:rPr>
          <w:u w:val="single"/>
        </w:rPr>
        <w:t>TERMINATION</w:t>
      </w:r>
      <w:r>
        <w:rPr/>
        <w:t xml:space="preserve">  This Agreement shall terminate upon ninety (90) days written notice by either party to the other of its desire to do so, or at such earlier time as both parties agree.  Upon termination of this Agreement, the parties agree that all Confidential Information in Enron's possession will be returned to Tri-State, or destroyed by Enron at Tri-State's request, in which case written confirmation will be provided that it has done so.  Termination of this Agreement does not relieve Enron of the obligations contained herein.</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6.</w:t>
        <w:tab/>
      </w:r>
      <w:r>
        <w:rPr>
          <w:u w:val="single"/>
        </w:rPr>
        <w:t>ENFORCEMENT</w:t>
      </w:r>
      <w:r>
        <w:rPr/>
        <w:t>.    The parties agree that money damages may not be a sufficient remedy for breach of this Agreement, and the non-breaching party shall be entitled to any available remedy, including , but not limited to, injunctive relief or specific performance. Any action to enforce this Agreement shall be commenced no later than three years after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rPr/>
      </w:pPr>
      <w:r>
        <w:rPr/>
        <w:t>7.</w:t>
        <w:tab/>
      </w:r>
      <w:r>
        <w:rPr>
          <w:u w:val="single"/>
        </w:rPr>
        <w:t>MISCELLANEOUS</w:t>
      </w:r>
      <w:r>
        <w:rPr/>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t>a.  If any provision of this Agreement is declared illegal, invalid or otherwise unenforceable, such provision shall be deemed severed, with the remaining provisions deemed to remain in full force and effect.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t>b.  This Agreement shall be governed in all respects by the laws of the State of Colorado.</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t>c.  This Agreement constitutes the entire agreement between the parties relating to the subject matter hereof.</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t>d. This Agreement shall not impose any obligation upon the parties with respect to any transaction, arrangement or other matter.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t xml:space="preserve">e.  This Agreement may not be amended, modified or waived except by a signed writing by both parties.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b/>
        </w:rPr>
        <w:t>IN WITNESS WHEREOF</w:t>
      </w:r>
      <w:r>
        <w:rPr/>
        <w:t>, the parties have caused this Agreement to be executed as of the date first written above.</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Tri-State Generation and Transmission Association, Inc.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 xml:space="preserve"> </w:t>
              <w:tab/>
            </w:r>
          </w:p>
          <w:p>
            <w:pPr>
              <w:pStyle w:val="Normal"/>
              <w:tabs>
                <w:tab w:val="clear" w:pos="720"/>
                <w:tab w:val="right" w:pos="4320" w:leader="none"/>
                <w:tab w:val="left" w:pos="4770" w:leader="none"/>
                <w:tab w:val="left" w:pos="5760" w:leader="none"/>
              </w:tabs>
              <w:rPr/>
            </w:pPr>
            <w:r>
              <w:rPr/>
            </w:r>
          </w:p>
          <w:p>
            <w:pPr>
              <w:pStyle w:val="Normal"/>
              <w:tabs>
                <w:tab w:val="clear" w:pos="720"/>
                <w:tab w:val="right" w:pos="4320" w:leader="underscore"/>
              </w:tabs>
              <w:rPr/>
            </w:pPr>
            <w:r>
              <w:rPr/>
              <w:t xml:space="preserve">Title:  </w:t>
              <w:tab/>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ECS Compression Company, L.L.C.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r>
        <w:trPr/>
        <w:tc>
          <w:tcPr>
            <w:tcW w:w="4788" w:type="dxa"/>
            <w:tcBorders/>
          </w:tcPr>
          <w:p>
            <w:pPr>
              <w:pStyle w:val="Normal"/>
              <w:tabs>
                <w:tab w:val="clear" w:pos="720"/>
                <w:tab w:val="right" w:pos="4320" w:leader="underscore"/>
              </w:tabs>
              <w:snapToGrid w:val="false"/>
              <w:rPr/>
            </w:pPr>
            <w:r>
              <w:rPr/>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Transwestern Pipeline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bl>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sz w:val="40"/>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2000-08-18T18:34:00Z</dcterms:created>
  <dc:creator>davnoc</dc:creator>
  <dc:description/>
  <dc:language>en-CA</dc:language>
  <cp:lastModifiedBy>kargre</cp:lastModifiedBy>
  <cp:lastPrinted>2000-08-15T10:32:00Z</cp:lastPrinted>
  <dcterms:modified xsi:type="dcterms:W3CDTF">2000-08-18T18:34:00Z</dcterms:modified>
  <cp:revision>3</cp:revision>
  <dc:subject/>
  <dc:title>CONFIDENTIALITY AGREEMENT</dc:title>
</cp:coreProperties>
</file>