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4400" w:type="dxa"/>
        <w:jc w:val="start"/>
        <w:tblInd w:w="-612" w:type="dxa"/>
        <w:tblLayout w:type="fixed"/>
        <w:tblCellMar>
          <w:top w:w="0" w:type="dxa"/>
          <w:start w:w="108" w:type="dxa"/>
          <w:bottom w:w="0" w:type="dxa"/>
          <w:end w:w="108" w:type="dxa"/>
        </w:tblCellMar>
      </w:tblPr>
      <w:tblGrid>
        <w:gridCol w:w="2700"/>
        <w:gridCol w:w="4860"/>
        <w:gridCol w:w="6840"/>
      </w:tblGrid>
      <w:tr>
        <w:trPr/>
        <w:tc>
          <w:tcPr>
            <w:tcW w:w="2700" w:type="dxa"/>
            <w:tcBorders>
              <w:top w:val="thickThinLargeGap" w:sz="6" w:space="0" w:color="C0C0C0"/>
              <w:start w:val="thickThinLargeGap" w:sz="6" w:space="0" w:color="C0C0C0"/>
              <w:bottom w:val="thickThinLargeGap" w:sz="6" w:space="0" w:color="C0C0C0"/>
              <w:end w:val="thickThinLargeGap" w:sz="6" w:space="0" w:color="C0C0C0"/>
            </w:tcBorders>
          </w:tcPr>
          <w:p>
            <w:pPr>
              <w:pStyle w:val="Normal"/>
              <w:rPr>
                <w:b/>
                <w:bCs/>
              </w:rPr>
            </w:pPr>
            <w:r>
              <w:rPr>
                <w:b/>
                <w:bCs/>
              </w:rPr>
              <w:t>Human Intellectual Capital</w:t>
            </w:r>
          </w:p>
        </w:tc>
        <w:tc>
          <w:tcPr>
            <w:tcW w:w="4860" w:type="dxa"/>
            <w:tcBorders>
              <w:top w:val="thickThinLargeGap" w:sz="6" w:space="0" w:color="C0C0C0"/>
              <w:start w:val="thickThinLargeGap" w:sz="6" w:space="0" w:color="C0C0C0"/>
              <w:bottom w:val="thickThinLargeGap" w:sz="6" w:space="0" w:color="C0C0C0"/>
              <w:end w:val="thickThinLargeGap" w:sz="6" w:space="0" w:color="C0C0C0"/>
            </w:tcBorders>
          </w:tcPr>
          <w:p>
            <w:pPr>
              <w:pStyle w:val="Header"/>
              <w:tabs>
                <w:tab w:val="clear" w:pos="4320"/>
                <w:tab w:val="clear" w:pos="8640"/>
              </w:tabs>
              <w:ind w:start="37" w:end="0"/>
              <w:rPr/>
            </w:pPr>
            <w:r>
              <w:rPr>
                <w:i/>
                <w:iCs/>
                <w:color w:val="000080"/>
                <w:sz w:val="20"/>
              </w:rPr>
              <w:t>Ensure that minorities and women are provided with opportunities to be successful at Enron and are positioned to be promoted to senior level responsibilities (</w:t>
            </w:r>
            <w:r>
              <w:rPr>
                <w:i/>
                <w:iCs/>
                <w:color w:val="000080"/>
                <w:sz w:val="20"/>
                <w:u w:val="single"/>
              </w:rPr>
              <w:t>i.e.</w:t>
            </w:r>
            <w:r>
              <w:rPr>
                <w:i/>
                <w:iCs/>
                <w:color w:val="000080"/>
                <w:sz w:val="20"/>
              </w:rPr>
              <w:t xml:space="preserve"> level playing field, meritocracy)</w:t>
            </w:r>
          </w:p>
          <w:p>
            <w:pPr>
              <w:pStyle w:val="Header"/>
              <w:tabs>
                <w:tab w:val="clear" w:pos="4320"/>
                <w:tab w:val="clear" w:pos="8640"/>
              </w:tabs>
              <w:ind w:start="37" w:end="0"/>
              <w:rPr>
                <w:i/>
                <w:i/>
                <w:iCs/>
                <w:color w:val="000080"/>
                <w:sz w:val="20"/>
              </w:rPr>
            </w:pPr>
            <w:r>
              <w:rPr>
                <w:i/>
                <w:iCs/>
                <w:color w:val="000080"/>
                <w:sz w:val="20"/>
              </w:rPr>
            </w:r>
          </w:p>
        </w:tc>
        <w:tc>
          <w:tcPr>
            <w:tcW w:w="6840" w:type="dxa"/>
            <w:tcBorders>
              <w:top w:val="thickThinLargeGap" w:sz="6" w:space="0" w:color="C0C0C0"/>
              <w:start w:val="thickThinLargeGap" w:sz="6" w:space="0" w:color="C0C0C0"/>
              <w:bottom w:val="thickThinLargeGap" w:sz="6" w:space="0" w:color="C0C0C0"/>
              <w:end w:val="thickThinLargeGap" w:sz="6" w:space="0" w:color="C0C0C0"/>
            </w:tcBorders>
          </w:tcPr>
          <w:p>
            <w:pPr>
              <w:pStyle w:val="Header"/>
              <w:numPr>
                <w:ilvl w:val="0"/>
                <w:numId w:val="3"/>
              </w:numPr>
              <w:tabs>
                <w:tab w:val="clear" w:pos="4320"/>
                <w:tab w:val="clear" w:pos="8640"/>
                <w:tab w:val="left" w:pos="397" w:leader="none"/>
              </w:tabs>
              <w:ind w:hanging="397" w:start="397" w:end="0"/>
              <w:rPr>
                <w:sz w:val="20"/>
              </w:rPr>
            </w:pPr>
            <w:r>
              <w:rPr>
                <w:sz w:val="20"/>
              </w:rPr>
              <w:t>Confirm and articulate the existence of Enron’s challenge.  Obtain HR Data/Statistics; Create Metrics</w:t>
            </w:r>
          </w:p>
          <w:p>
            <w:pPr>
              <w:pStyle w:val="Header"/>
              <w:numPr>
                <w:ilvl w:val="0"/>
                <w:numId w:val="3"/>
              </w:numPr>
              <w:tabs>
                <w:tab w:val="clear" w:pos="4320"/>
                <w:tab w:val="clear" w:pos="8640"/>
                <w:tab w:val="left" w:pos="397" w:leader="none"/>
              </w:tabs>
              <w:ind w:hanging="397" w:start="397" w:end="0"/>
              <w:rPr>
                <w:sz w:val="20"/>
              </w:rPr>
            </w:pPr>
            <w:r>
              <w:rPr>
                <w:sz w:val="20"/>
              </w:rPr>
              <w:t>Communicate Enron’s commitment to recruit and retain the most qualified and talented minorities and women.</w:t>
            </w:r>
          </w:p>
          <w:p>
            <w:pPr>
              <w:pStyle w:val="Header"/>
              <w:numPr>
                <w:ilvl w:val="0"/>
                <w:numId w:val="3"/>
              </w:numPr>
              <w:tabs>
                <w:tab w:val="clear" w:pos="4320"/>
                <w:tab w:val="clear" w:pos="8640"/>
                <w:tab w:val="left" w:pos="397" w:leader="none"/>
              </w:tabs>
              <w:ind w:hanging="397" w:start="397" w:end="0"/>
              <w:rPr>
                <w:sz w:val="20"/>
              </w:rPr>
            </w:pPr>
            <w:r>
              <w:rPr>
                <w:sz w:val="20"/>
              </w:rPr>
              <w:t>Presentation that “tells the story” for Management and Board of Directors</w:t>
            </w:r>
          </w:p>
          <w:p>
            <w:pPr>
              <w:pStyle w:val="Header"/>
              <w:numPr>
                <w:ilvl w:val="0"/>
                <w:numId w:val="3"/>
              </w:numPr>
              <w:tabs>
                <w:tab w:val="clear" w:pos="4320"/>
                <w:tab w:val="clear" w:pos="8640"/>
                <w:tab w:val="left" w:pos="397" w:leader="none"/>
              </w:tabs>
              <w:ind w:hanging="397" w:start="397" w:end="0"/>
              <w:rPr>
                <w:sz w:val="20"/>
              </w:rPr>
            </w:pPr>
            <w:r>
              <w:rPr>
                <w:sz w:val="20"/>
              </w:rPr>
              <w:t>Identify and enhance the resources available to meet diversity challenges.</w:t>
            </w:r>
          </w:p>
          <w:p>
            <w:pPr>
              <w:pStyle w:val="Header"/>
              <w:numPr>
                <w:ilvl w:val="0"/>
                <w:numId w:val="3"/>
              </w:numPr>
              <w:tabs>
                <w:tab w:val="clear" w:pos="4320"/>
                <w:tab w:val="clear" w:pos="8640"/>
                <w:tab w:val="left" w:pos="397" w:leader="none"/>
              </w:tabs>
              <w:ind w:hanging="397" w:start="397" w:end="0"/>
              <w:rPr>
                <w:sz w:val="20"/>
              </w:rPr>
            </w:pPr>
            <w:r>
              <w:rPr>
                <w:sz w:val="20"/>
              </w:rPr>
              <w:t>Develop a formalized campaign as to Enron’s commitment to be a leader in diversity hiring and promotion opportunities</w:t>
            </w:r>
          </w:p>
          <w:p>
            <w:pPr>
              <w:pStyle w:val="Header"/>
              <w:numPr>
                <w:ilvl w:val="0"/>
                <w:numId w:val="3"/>
              </w:numPr>
              <w:tabs>
                <w:tab w:val="clear" w:pos="4320"/>
                <w:tab w:val="clear" w:pos="8640"/>
                <w:tab w:val="left" w:pos="397" w:leader="none"/>
              </w:tabs>
              <w:rPr>
                <w:sz w:val="20"/>
              </w:rPr>
            </w:pPr>
            <w:r>
              <w:rPr>
                <w:sz w:val="20"/>
              </w:rPr>
              <w:t>Highlight success stories</w:t>
            </w:r>
          </w:p>
          <w:p>
            <w:pPr>
              <w:pStyle w:val="Header"/>
              <w:numPr>
                <w:ilvl w:val="0"/>
                <w:numId w:val="3"/>
              </w:numPr>
              <w:tabs>
                <w:tab w:val="clear" w:pos="4320"/>
                <w:tab w:val="clear" w:pos="8640"/>
                <w:tab w:val="left" w:pos="37" w:leader="none"/>
              </w:tabs>
              <w:ind w:hanging="360" w:start="397" w:end="0"/>
              <w:rPr>
                <w:sz w:val="20"/>
              </w:rPr>
            </w:pPr>
            <w:r>
              <w:rPr>
                <w:sz w:val="20"/>
              </w:rPr>
              <w:t>Establish diversity accountability standards and reward mechanisms.  Maintain HR metrics to measure Enron’s Performance and regularly communicate status with Management Committee</w:t>
            </w:r>
          </w:p>
          <w:p>
            <w:pPr>
              <w:pStyle w:val="Header"/>
              <w:numPr>
                <w:ilvl w:val="0"/>
                <w:numId w:val="4"/>
              </w:numPr>
              <w:tabs>
                <w:tab w:val="clear" w:pos="4320"/>
                <w:tab w:val="clear" w:pos="8640"/>
                <w:tab w:val="left" w:pos="397" w:leader="none"/>
              </w:tabs>
              <w:ind w:hanging="397" w:start="397" w:end="0"/>
              <w:rPr>
                <w:sz w:val="20"/>
              </w:rPr>
            </w:pPr>
            <w:r>
              <w:rPr>
                <w:sz w:val="20"/>
              </w:rPr>
              <w:t>Use PRC to identify “Rising Stars” and to assess senior-level performance; create opportunities for exposure before Management Committee</w:t>
            </w:r>
          </w:p>
          <w:p>
            <w:pPr>
              <w:pStyle w:val="Header"/>
              <w:numPr>
                <w:ilvl w:val="0"/>
                <w:numId w:val="4"/>
              </w:numPr>
              <w:tabs>
                <w:tab w:val="clear" w:pos="4320"/>
                <w:tab w:val="clear" w:pos="8640"/>
                <w:tab w:val="left" w:pos="397" w:leader="none"/>
              </w:tabs>
              <w:ind w:hanging="397" w:start="397" w:end="0"/>
              <w:rPr>
                <w:sz w:val="20"/>
              </w:rPr>
            </w:pPr>
            <w:r>
              <w:rPr>
                <w:sz w:val="20"/>
              </w:rPr>
              <w:t>Participate in Fortune 500 top 50 companies for minorities</w:t>
            </w:r>
          </w:p>
          <w:p>
            <w:pPr>
              <w:pStyle w:val="Normal"/>
              <w:numPr>
                <w:ilvl w:val="0"/>
                <w:numId w:val="4"/>
              </w:numPr>
              <w:tabs>
                <w:tab w:val="clear" w:pos="720"/>
                <w:tab w:val="left" w:pos="397" w:leader="none"/>
              </w:tabs>
              <w:ind w:hanging="397" w:start="397" w:end="0"/>
              <w:rPr>
                <w:sz w:val="20"/>
              </w:rPr>
            </w:pPr>
            <w:r>
              <w:rPr>
                <w:sz w:val="20"/>
              </w:rPr>
              <w:t>Create a mentoring program for all employees (</w:t>
            </w:r>
            <w:r>
              <w:rPr>
                <w:sz w:val="20"/>
                <w:u w:val="single"/>
              </w:rPr>
              <w:t>i.e.</w:t>
            </w:r>
            <w:r>
              <w:rPr>
                <w:sz w:val="20"/>
              </w:rPr>
              <w:t xml:space="preserve"> Buddy/Volunteer, Pre-arranged, Hybrid, Formal/Informal)</w:t>
            </w:r>
          </w:p>
          <w:p>
            <w:pPr>
              <w:pStyle w:val="Normal"/>
              <w:numPr>
                <w:ilvl w:val="0"/>
                <w:numId w:val="4"/>
              </w:numPr>
              <w:tabs>
                <w:tab w:val="clear" w:pos="720"/>
                <w:tab w:val="left" w:pos="397" w:leader="none"/>
              </w:tabs>
              <w:ind w:hanging="397" w:start="397" w:end="0"/>
              <w:rPr>
                <w:sz w:val="20"/>
              </w:rPr>
            </w:pPr>
            <w:r>
              <w:rPr>
                <w:sz w:val="20"/>
              </w:rPr>
              <w:t>Partnering of internal efforts via “Diversity Board of Directors” (</w:t>
            </w:r>
            <w:r>
              <w:rPr>
                <w:sz w:val="20"/>
                <w:u w:val="single"/>
              </w:rPr>
              <w:t>i.e.</w:t>
            </w:r>
            <w:r>
              <w:rPr>
                <w:sz w:val="20"/>
              </w:rPr>
              <w:t xml:space="preserve"> MWBE, Stakeholders, A/A program, HR, Legal)</w:t>
            </w:r>
          </w:p>
          <w:p>
            <w:pPr>
              <w:pStyle w:val="Normal"/>
              <w:numPr>
                <w:ilvl w:val="0"/>
                <w:numId w:val="4"/>
              </w:numPr>
              <w:tabs>
                <w:tab w:val="clear" w:pos="720"/>
                <w:tab w:val="left" w:pos="397" w:leader="none"/>
              </w:tabs>
              <w:ind w:hanging="397" w:start="397" w:end="0"/>
              <w:rPr>
                <w:sz w:val="20"/>
              </w:rPr>
            </w:pPr>
            <w:r>
              <w:rPr>
                <w:sz w:val="20"/>
              </w:rPr>
              <w:t>Creation of external relationships via “Diversity Board of Directors” (</w:t>
            </w:r>
            <w:r>
              <w:rPr>
                <w:sz w:val="20"/>
                <w:u w:val="single"/>
              </w:rPr>
              <w:t>i.e.</w:t>
            </w:r>
            <w:r>
              <w:rPr>
                <w:sz w:val="20"/>
              </w:rPr>
              <w:t xml:space="preserve"> NAACP, NABMBA, NSHMBA)</w:t>
            </w:r>
          </w:p>
          <w:p>
            <w:pPr>
              <w:pStyle w:val="Header"/>
              <w:numPr>
                <w:ilvl w:val="0"/>
                <w:numId w:val="4"/>
              </w:numPr>
              <w:tabs>
                <w:tab w:val="clear" w:pos="4320"/>
                <w:tab w:val="clear" w:pos="8640"/>
              </w:tabs>
              <w:ind w:hanging="397" w:start="397" w:end="0"/>
              <w:rPr>
                <w:sz w:val="20"/>
              </w:rPr>
            </w:pPr>
            <w:r>
              <w:rPr>
                <w:sz w:val="20"/>
              </w:rPr>
              <w:t>Develop and Implement Training Tools (Web capabilities)</w:t>
            </w:r>
          </w:p>
          <w:p>
            <w:pPr>
              <w:pStyle w:val="Header"/>
              <w:numPr>
                <w:ilvl w:val="0"/>
                <w:numId w:val="4"/>
              </w:numPr>
              <w:tabs>
                <w:tab w:val="clear" w:pos="4320"/>
                <w:tab w:val="clear" w:pos="8640"/>
              </w:tabs>
              <w:ind w:hanging="397" w:start="397" w:end="0"/>
              <w:rPr>
                <w:sz w:val="20"/>
              </w:rPr>
            </w:pPr>
            <w:r>
              <w:rPr>
                <w:sz w:val="20"/>
              </w:rPr>
              <w:t xml:space="preserve">EES grassroots minority and women commercial support group headed by EES’ OTC.   </w:t>
            </w:r>
          </w:p>
        </w:tc>
      </w:tr>
      <w:tr>
        <w:trPr/>
        <w:tc>
          <w:tcPr>
            <w:tcW w:w="2700" w:type="dxa"/>
            <w:tcBorders>
              <w:top w:val="thickThinLargeGap" w:sz="6" w:space="0" w:color="C0C0C0"/>
              <w:start w:val="thickThinLargeGap" w:sz="6" w:space="0" w:color="C0C0C0"/>
              <w:bottom w:val="thickThinLargeGap" w:sz="6" w:space="0" w:color="C0C0C0"/>
              <w:end w:val="thickThinLargeGap" w:sz="6" w:space="0" w:color="C0C0C0"/>
            </w:tcBorders>
          </w:tcPr>
          <w:p>
            <w:pPr>
              <w:pStyle w:val="Normal"/>
              <w:rPr>
                <w:b/>
                <w:bCs/>
              </w:rPr>
            </w:pPr>
            <w:r>
              <w:rPr>
                <w:b/>
                <w:bCs/>
              </w:rPr>
              <w:t>HR Risk Management</w:t>
            </w:r>
          </w:p>
        </w:tc>
        <w:tc>
          <w:tcPr>
            <w:tcW w:w="4860" w:type="dxa"/>
            <w:tcBorders>
              <w:top w:val="thickThinLargeGap" w:sz="6" w:space="0" w:color="C0C0C0"/>
              <w:start w:val="thickThinLargeGap" w:sz="6" w:space="0" w:color="C0C0C0"/>
              <w:bottom w:val="thickThinLargeGap" w:sz="6" w:space="0" w:color="C0C0C0"/>
              <w:end w:val="thickThinLargeGap" w:sz="6" w:space="0" w:color="C0C0C0"/>
            </w:tcBorders>
          </w:tcPr>
          <w:p>
            <w:pPr>
              <w:pStyle w:val="Header"/>
              <w:tabs>
                <w:tab w:val="clear" w:pos="4320"/>
                <w:tab w:val="clear" w:pos="8640"/>
              </w:tabs>
              <w:ind w:start="37" w:end="0"/>
              <w:rPr>
                <w:i/>
                <w:i/>
                <w:iCs/>
                <w:sz w:val="20"/>
              </w:rPr>
            </w:pPr>
            <w:r>
              <w:rPr>
                <w:i/>
                <w:iCs/>
                <w:color w:val="000080"/>
                <w:sz w:val="20"/>
              </w:rPr>
              <w:t>Mitigate exposure to legal claims of discrimination or even reverse discrimination.</w:t>
            </w:r>
          </w:p>
          <w:p>
            <w:pPr>
              <w:pStyle w:val="Normal"/>
              <w:ind w:start="37" w:end="0"/>
              <w:rPr>
                <w:i/>
                <w:i/>
                <w:iCs/>
                <w:sz w:val="20"/>
              </w:rPr>
            </w:pPr>
            <w:r>
              <w:rPr>
                <w:i/>
                <w:iCs/>
                <w:sz w:val="20"/>
              </w:rPr>
            </w:r>
          </w:p>
        </w:tc>
        <w:tc>
          <w:tcPr>
            <w:tcW w:w="6840" w:type="dxa"/>
            <w:tcBorders>
              <w:top w:val="thickThinLargeGap" w:sz="6" w:space="0" w:color="C0C0C0"/>
              <w:start w:val="thickThinLargeGap" w:sz="6" w:space="0" w:color="C0C0C0"/>
              <w:bottom w:val="thickThinLargeGap" w:sz="6" w:space="0" w:color="C0C0C0"/>
              <w:end w:val="thickThinLargeGap" w:sz="6" w:space="0" w:color="C0C0C0"/>
            </w:tcBorders>
          </w:tcPr>
          <w:p>
            <w:pPr>
              <w:pStyle w:val="Normal"/>
              <w:numPr>
                <w:ilvl w:val="0"/>
                <w:numId w:val="2"/>
              </w:numPr>
              <w:ind w:hanging="360" w:start="397" w:end="0"/>
              <w:rPr>
                <w:sz w:val="20"/>
              </w:rPr>
            </w:pPr>
            <w:r>
              <w:rPr>
                <w:sz w:val="20"/>
              </w:rPr>
              <w:t>Develop relationships with governmental agencies that enforce discrimination/affirmative action laws, regulations, and Executive Orders :  Office of Federal Contract Compliance Programs (OFCCP) and EEOC..</w:t>
            </w:r>
          </w:p>
          <w:p>
            <w:pPr>
              <w:pStyle w:val="Normal"/>
              <w:numPr>
                <w:ilvl w:val="0"/>
                <w:numId w:val="2"/>
              </w:numPr>
              <w:ind w:hanging="360" w:start="397" w:end="0"/>
              <w:rPr>
                <w:sz w:val="20"/>
              </w:rPr>
            </w:pPr>
            <w:r>
              <w:rPr>
                <w:sz w:val="20"/>
              </w:rPr>
              <w:t>Update, publicize and strive for AAP targets.</w:t>
            </w:r>
          </w:p>
          <w:p>
            <w:pPr>
              <w:pStyle w:val="Normal"/>
              <w:numPr>
                <w:ilvl w:val="0"/>
                <w:numId w:val="2"/>
              </w:numPr>
              <w:ind w:hanging="360" w:start="397" w:end="0"/>
              <w:rPr>
                <w:sz w:val="20"/>
              </w:rPr>
            </w:pPr>
            <w:r>
              <w:rPr>
                <w:sz w:val="20"/>
              </w:rPr>
              <w:t>Audit compensation and employment practices (e.g. staffing, PRC, promotions, terminations, etc.)</w:t>
            </w:r>
          </w:p>
        </w:tc>
      </w:tr>
      <w:tr>
        <w:trPr/>
        <w:tc>
          <w:tcPr>
            <w:tcW w:w="2700" w:type="dxa"/>
            <w:tcBorders>
              <w:top w:val="thickThinLargeGap" w:sz="6" w:space="0" w:color="C0C0C0"/>
              <w:start w:val="thickThinLargeGap" w:sz="6" w:space="0" w:color="C0C0C0"/>
              <w:bottom w:val="thickThinLargeGap" w:sz="6" w:space="0" w:color="C0C0C0"/>
              <w:end w:val="thickThinLargeGap" w:sz="6" w:space="0" w:color="C0C0C0"/>
            </w:tcBorders>
          </w:tcPr>
          <w:p>
            <w:pPr>
              <w:pStyle w:val="Heading1"/>
              <w:ind w:hanging="0" w:start="0"/>
              <w:rPr/>
            </w:pPr>
            <w:r>
              <w:rPr/>
              <w:t>Community Relations</w:t>
            </w:r>
          </w:p>
        </w:tc>
        <w:tc>
          <w:tcPr>
            <w:tcW w:w="4860" w:type="dxa"/>
            <w:tcBorders>
              <w:top w:val="thickThinLargeGap" w:sz="6" w:space="0" w:color="C0C0C0"/>
              <w:start w:val="thickThinLargeGap" w:sz="6" w:space="0" w:color="C0C0C0"/>
              <w:bottom w:val="thickThinLargeGap" w:sz="6" w:space="0" w:color="C0C0C0"/>
              <w:end w:val="thickThinLargeGap" w:sz="6" w:space="0" w:color="C0C0C0"/>
            </w:tcBorders>
          </w:tcPr>
          <w:p>
            <w:pPr>
              <w:pStyle w:val="Normal"/>
              <w:rPr>
                <w:sz w:val="20"/>
              </w:rPr>
            </w:pPr>
            <w:r>
              <w:rPr>
                <w:i/>
                <w:iCs/>
                <w:color w:val="000080"/>
                <w:sz w:val="20"/>
              </w:rPr>
              <w:t>Enron supports a variety of organizations that are working to improve the communities where our employees, customers, and colleagues live and work</w:t>
            </w:r>
            <w:r>
              <w:rPr>
                <w:rFonts w:cs="Verdana" w:ascii="Verdana" w:hAnsi="Verdana"/>
                <w:sz w:val="18"/>
                <w:szCs w:val="18"/>
              </w:rPr>
              <w:t>.</w:t>
            </w:r>
          </w:p>
        </w:tc>
        <w:tc>
          <w:tcPr>
            <w:tcW w:w="6840" w:type="dxa"/>
            <w:tcBorders>
              <w:top w:val="thickThinLargeGap" w:sz="6" w:space="0" w:color="C0C0C0"/>
              <w:start w:val="thickThinLargeGap" w:sz="6" w:space="0" w:color="C0C0C0"/>
              <w:bottom w:val="thickThinLargeGap" w:sz="6" w:space="0" w:color="C0C0C0"/>
              <w:end w:val="thickThinLargeGap" w:sz="6" w:space="0" w:color="C0C0C0"/>
            </w:tcBorders>
          </w:tcPr>
          <w:p>
            <w:pPr>
              <w:pStyle w:val="Normal"/>
              <w:numPr>
                <w:ilvl w:val="0"/>
                <w:numId w:val="2"/>
              </w:numPr>
              <w:tabs>
                <w:tab w:val="clear" w:pos="720"/>
                <w:tab w:val="left" w:pos="397" w:leader="none"/>
              </w:tabs>
              <w:ind w:hanging="397" w:start="397" w:end="0"/>
              <w:rPr>
                <w:sz w:val="20"/>
              </w:rPr>
            </w:pPr>
            <w:r>
              <w:rPr>
                <w:sz w:val="20"/>
              </w:rPr>
              <w:t>Enron's community investments range from supporting programs that promote cultural diversity, sponsoring art exhibits, contributing dollars for international disaster relief efforts to funding non-profit institutions and organizations.</w:t>
            </w:r>
          </w:p>
          <w:p>
            <w:pPr>
              <w:pStyle w:val="Normal"/>
              <w:numPr>
                <w:ilvl w:val="0"/>
                <w:numId w:val="2"/>
              </w:numPr>
              <w:tabs>
                <w:tab w:val="clear" w:pos="720"/>
                <w:tab w:val="left" w:pos="397" w:leader="none"/>
              </w:tabs>
              <w:ind w:hanging="397" w:start="397" w:end="0"/>
              <w:rPr>
                <w:sz w:val="20"/>
              </w:rPr>
            </w:pPr>
            <w:r>
              <w:rPr>
                <w:sz w:val="20"/>
              </w:rPr>
              <w:t>Enron donates millions of dollars every year to organizations, schools and causes throughout the world.</w:t>
            </w:r>
          </w:p>
          <w:p>
            <w:pPr>
              <w:pStyle w:val="Normal"/>
              <w:numPr>
                <w:ilvl w:val="0"/>
                <w:numId w:val="2"/>
              </w:numPr>
              <w:tabs>
                <w:tab w:val="clear" w:pos="720"/>
                <w:tab w:val="left" w:pos="397" w:leader="none"/>
              </w:tabs>
              <w:ind w:hanging="397" w:start="397" w:end="0"/>
              <w:rPr>
                <w:sz w:val="20"/>
              </w:rPr>
            </w:pPr>
            <w:r>
              <w:rPr>
                <w:sz w:val="20"/>
              </w:rPr>
              <w:t>Enron forms strategic partnerships with non-profits to assist them in achieving their goals</w:t>
            </w:r>
            <w:r>
              <w:rPr>
                <w:rFonts w:cs="Verdana" w:ascii="Verdana" w:hAnsi="Verdana"/>
                <w:sz w:val="18"/>
                <w:szCs w:val="18"/>
              </w:rPr>
              <w:t>.</w:t>
            </w:r>
          </w:p>
          <w:p>
            <w:pPr>
              <w:pStyle w:val="Normal"/>
              <w:numPr>
                <w:ilvl w:val="0"/>
                <w:numId w:val="2"/>
              </w:numPr>
              <w:tabs>
                <w:tab w:val="clear" w:pos="720"/>
                <w:tab w:val="left" w:pos="397" w:leader="none"/>
              </w:tabs>
              <w:ind w:hanging="397" w:start="397" w:end="0"/>
              <w:rPr>
                <w:sz w:val="20"/>
              </w:rPr>
            </w:pPr>
            <w:r>
              <w:rPr>
                <w:sz w:val="20"/>
              </w:rPr>
              <w:t>While monetary and in-kind gifts are important, hands-on volunteers are the lifeblood of any community agency.  Enron employee volunteers have provided helping hands, intellectual capital and skilled labor to non-profit agencies.</w:t>
            </w:r>
            <w:r>
              <w:rPr>
                <w:rFonts w:cs="Verdana" w:ascii="Verdana" w:hAnsi="Verdana"/>
                <w:sz w:val="18"/>
                <w:szCs w:val="18"/>
              </w:rPr>
              <w:t> </w:t>
            </w:r>
          </w:p>
        </w:tc>
      </w:tr>
    </w:tbl>
    <w:p>
      <w:pPr>
        <w:pStyle w:val="Normal"/>
        <w:rPr/>
      </w:pPr>
      <w:r>
        <w:br w:type="page"/>
      </w:r>
      <w:r>
        <w:rPr/>
      </w:r>
    </w:p>
    <w:tbl>
      <w:tblPr>
        <w:tblW w:w="14400" w:type="dxa"/>
        <w:jc w:val="start"/>
        <w:tblInd w:w="-612" w:type="dxa"/>
        <w:tblLayout w:type="fixed"/>
        <w:tblCellMar>
          <w:top w:w="0" w:type="dxa"/>
          <w:start w:w="108" w:type="dxa"/>
          <w:bottom w:w="0" w:type="dxa"/>
          <w:end w:w="108" w:type="dxa"/>
        </w:tblCellMar>
      </w:tblPr>
      <w:tblGrid>
        <w:gridCol w:w="2700"/>
        <w:gridCol w:w="4860"/>
        <w:gridCol w:w="6840"/>
      </w:tblGrid>
      <w:tr>
        <w:trPr/>
        <w:tc>
          <w:tcPr>
            <w:tcW w:w="2700" w:type="dxa"/>
            <w:tcBorders>
              <w:top w:val="thickThinLargeGap" w:sz="6" w:space="0" w:color="C0C0C0"/>
              <w:start w:val="thickThinLargeGap" w:sz="6" w:space="0" w:color="C0C0C0"/>
              <w:bottom w:val="thickThinLargeGap" w:sz="6" w:space="0" w:color="C0C0C0"/>
              <w:end w:val="thickThinLargeGap" w:sz="6" w:space="0" w:color="C0C0C0"/>
            </w:tcBorders>
          </w:tcPr>
          <w:p>
            <w:pPr>
              <w:pStyle w:val="Normal"/>
              <w:rPr>
                <w:b/>
                <w:bCs/>
              </w:rPr>
            </w:pPr>
            <w:r>
              <w:rPr>
                <w:b/>
                <w:bCs/>
              </w:rPr>
              <w:t>Enron Investment Partners</w:t>
            </w:r>
          </w:p>
        </w:tc>
        <w:tc>
          <w:tcPr>
            <w:tcW w:w="4860" w:type="dxa"/>
            <w:tcBorders>
              <w:top w:val="thickThinLargeGap" w:sz="6" w:space="0" w:color="C0C0C0"/>
              <w:start w:val="thickThinLargeGap" w:sz="6" w:space="0" w:color="C0C0C0"/>
              <w:bottom w:val="thickThinLargeGap" w:sz="6" w:space="0" w:color="C0C0C0"/>
              <w:end w:val="thickThinLargeGap" w:sz="6" w:space="0" w:color="C0C0C0"/>
            </w:tcBorders>
          </w:tcPr>
          <w:p>
            <w:pPr>
              <w:pStyle w:val="BodyText"/>
              <w:rPr/>
            </w:pPr>
            <w:r>
              <w:rPr/>
              <w:t>Enron is actively investing in minority and woman-owned businesses via Enron Investment Partners (EIP), a venture capital fund focusing on providing equity capital to this underserved market.</w:t>
            </w:r>
          </w:p>
          <w:p>
            <w:pPr>
              <w:pStyle w:val="Normal"/>
              <w:rPr>
                <w:sz w:val="20"/>
              </w:rPr>
            </w:pPr>
            <w:r>
              <w:rPr>
                <w:sz w:val="20"/>
              </w:rPr>
            </w:r>
          </w:p>
        </w:tc>
        <w:tc>
          <w:tcPr>
            <w:tcW w:w="6840" w:type="dxa"/>
            <w:tcBorders>
              <w:top w:val="thickThinLargeGap" w:sz="6" w:space="0" w:color="C0C0C0"/>
              <w:start w:val="thickThinLargeGap" w:sz="6" w:space="0" w:color="C0C0C0"/>
              <w:bottom w:val="thickThinLargeGap" w:sz="6" w:space="0" w:color="C0C0C0"/>
              <w:end w:val="thickThinLargeGap" w:sz="6" w:space="0" w:color="C0C0C0"/>
            </w:tcBorders>
          </w:tcPr>
          <w:p>
            <w:pPr>
              <w:pStyle w:val="Normal"/>
              <w:numPr>
                <w:ilvl w:val="0"/>
                <w:numId w:val="6"/>
              </w:numPr>
              <w:ind w:hanging="397" w:start="397" w:end="0"/>
              <w:rPr>
                <w:sz w:val="20"/>
              </w:rPr>
            </w:pPr>
            <w:r>
              <w:rPr>
                <w:sz w:val="20"/>
              </w:rPr>
              <w:t>Maximize the return on the funds it manages while creating opportunities for women and minority entrepreneurs to build wealth.  Since 1999 EIP has invested $25 million in companies ranging from state-of-the-art customer contact center to an industrial facility that processes unused food wastes into bacteria-feed livestock feed.</w:t>
            </w:r>
          </w:p>
          <w:p>
            <w:pPr>
              <w:pStyle w:val="Normal"/>
              <w:numPr>
                <w:ilvl w:val="0"/>
                <w:numId w:val="6"/>
              </w:numPr>
              <w:ind w:hanging="397" w:start="397" w:end="0"/>
              <w:rPr>
                <w:sz w:val="20"/>
              </w:rPr>
            </w:pPr>
            <w:r>
              <w:rPr>
                <w:sz w:val="20"/>
              </w:rPr>
              <w:t>Identify prospective companies and ensure a healthy return on its investments based on the current business climate and by examining how the business might perform in the future.</w:t>
            </w:r>
          </w:p>
        </w:tc>
      </w:tr>
      <w:tr>
        <w:trPr/>
        <w:tc>
          <w:tcPr>
            <w:tcW w:w="2700" w:type="dxa"/>
            <w:tcBorders>
              <w:top w:val="thickThinLargeGap" w:sz="6" w:space="0" w:color="C0C0C0"/>
              <w:start w:val="thickThinLargeGap" w:sz="6" w:space="0" w:color="C0C0C0"/>
              <w:bottom w:val="thickThinLargeGap" w:sz="6" w:space="0" w:color="C0C0C0"/>
              <w:end w:val="thickThinLargeGap" w:sz="6" w:space="0" w:color="C0C0C0"/>
            </w:tcBorders>
          </w:tcPr>
          <w:p>
            <w:pPr>
              <w:pStyle w:val="Normal"/>
              <w:rPr>
                <w:b/>
                <w:bCs/>
              </w:rPr>
            </w:pPr>
            <w:r>
              <w:rPr>
                <w:b/>
                <w:bCs/>
              </w:rPr>
              <w:t>Minority &amp; Women Business Development</w:t>
            </w:r>
          </w:p>
        </w:tc>
        <w:tc>
          <w:tcPr>
            <w:tcW w:w="4860" w:type="dxa"/>
            <w:tcBorders>
              <w:top w:val="thickThinLargeGap" w:sz="6" w:space="0" w:color="C0C0C0"/>
              <w:start w:val="thickThinLargeGap" w:sz="6" w:space="0" w:color="C0C0C0"/>
              <w:bottom w:val="thickThinLargeGap" w:sz="6" w:space="0" w:color="C0C0C0"/>
              <w:end w:val="thickThinLargeGap" w:sz="6" w:space="0" w:color="C0C0C0"/>
            </w:tcBorders>
          </w:tcPr>
          <w:p>
            <w:pPr>
              <w:pStyle w:val="Normal"/>
              <w:rPr/>
            </w:pPr>
            <w:r>
              <w:rPr>
                <w:i/>
                <w:iCs/>
                <w:color w:val="000080"/>
                <w:sz w:val="20"/>
              </w:rPr>
              <w:t>Enron maintains an active effort to develop supplier diversity</w:t>
            </w:r>
            <w:r>
              <w:rPr>
                <w:sz w:val="20"/>
              </w:rPr>
              <w:t>.</w:t>
            </w:r>
          </w:p>
          <w:p>
            <w:pPr>
              <w:pStyle w:val="Normal"/>
              <w:ind w:start="37" w:end="0"/>
              <w:rPr>
                <w:sz w:val="20"/>
              </w:rPr>
            </w:pPr>
            <w:r>
              <w:rPr>
                <w:sz w:val="20"/>
              </w:rPr>
            </w:r>
          </w:p>
        </w:tc>
        <w:tc>
          <w:tcPr>
            <w:tcW w:w="6840" w:type="dxa"/>
            <w:tcBorders>
              <w:top w:val="thickThinLargeGap" w:sz="6" w:space="0" w:color="C0C0C0"/>
              <w:start w:val="thickThinLargeGap" w:sz="6" w:space="0" w:color="C0C0C0"/>
              <w:bottom w:val="thickThinLargeGap" w:sz="6" w:space="0" w:color="C0C0C0"/>
              <w:end w:val="thickThinLargeGap" w:sz="6" w:space="0" w:color="C0C0C0"/>
            </w:tcBorders>
          </w:tcPr>
          <w:p>
            <w:pPr>
              <w:pStyle w:val="Normal"/>
              <w:numPr>
                <w:ilvl w:val="0"/>
                <w:numId w:val="5"/>
              </w:numPr>
              <w:ind w:hanging="360" w:start="397" w:end="0"/>
              <w:rPr>
                <w:sz w:val="20"/>
              </w:rPr>
            </w:pPr>
            <w:r>
              <w:rPr>
                <w:sz w:val="20"/>
              </w:rPr>
              <w:t>Fifteen percent of overall expenditures targeted with certified minority or women-owned business enterprises.  In 2000 spent over $200 million.</w:t>
            </w:r>
          </w:p>
          <w:p>
            <w:pPr>
              <w:pStyle w:val="Normal"/>
              <w:numPr>
                <w:ilvl w:val="0"/>
                <w:numId w:val="5"/>
              </w:numPr>
              <w:ind w:hanging="360" w:start="397" w:end="0"/>
              <w:rPr>
                <w:sz w:val="20"/>
              </w:rPr>
            </w:pPr>
            <w:r>
              <w:rPr>
                <w:sz w:val="20"/>
              </w:rPr>
              <w:t>Seeks out new suppliers, coaches potential suppliers and created a Mentor-Protégé program for mentoring minority and women owned businesses, regardless if they are current suppliers of Enron or not.</w:t>
            </w:r>
          </w:p>
          <w:p>
            <w:pPr>
              <w:pStyle w:val="Normal"/>
              <w:numPr>
                <w:ilvl w:val="0"/>
                <w:numId w:val="5"/>
              </w:numPr>
              <w:ind w:hanging="360" w:start="397" w:end="0"/>
              <w:rPr>
                <w:sz w:val="20"/>
              </w:rPr>
            </w:pPr>
            <w:r>
              <w:rPr>
                <w:sz w:val="20"/>
              </w:rPr>
              <w:t xml:space="preserve">Procedures in place to ensure that RFP processes include diverse suppliers. </w:t>
            </w:r>
          </w:p>
        </w:tc>
      </w:tr>
      <w:tr>
        <w:trPr/>
        <w:tc>
          <w:tcPr>
            <w:tcW w:w="2700" w:type="dxa"/>
            <w:tcBorders>
              <w:top w:val="thickThinLargeGap" w:sz="6" w:space="0" w:color="C0C0C0"/>
              <w:start w:val="thickThinLargeGap" w:sz="6" w:space="0" w:color="C0C0C0"/>
              <w:bottom w:val="thickThinLargeGap" w:sz="6" w:space="0" w:color="C0C0C0"/>
              <w:end w:val="thickThinLargeGap" w:sz="6" w:space="0" w:color="C0C0C0"/>
            </w:tcBorders>
          </w:tcPr>
          <w:p>
            <w:pPr>
              <w:pStyle w:val="Normal"/>
              <w:rPr>
                <w:b/>
                <w:bCs/>
              </w:rPr>
            </w:pPr>
            <w:r>
              <w:rPr>
                <w:b/>
                <w:bCs/>
              </w:rPr>
              <w:t>Social Responsibility</w:t>
            </w:r>
          </w:p>
        </w:tc>
        <w:tc>
          <w:tcPr>
            <w:tcW w:w="4860" w:type="dxa"/>
            <w:tcBorders>
              <w:top w:val="thickThinLargeGap" w:sz="6" w:space="0" w:color="C0C0C0"/>
              <w:start w:val="thickThinLargeGap" w:sz="6" w:space="0" w:color="C0C0C0"/>
              <w:bottom w:val="thickThinLargeGap" w:sz="6" w:space="0" w:color="C0C0C0"/>
              <w:end w:val="thickThinLargeGap" w:sz="6" w:space="0" w:color="C0C0C0"/>
            </w:tcBorders>
          </w:tcPr>
          <w:p>
            <w:pPr>
              <w:pStyle w:val="Normal"/>
              <w:rPr/>
            </w:pPr>
            <w:r>
              <w:rPr>
                <w:i/>
                <w:iCs/>
                <w:color w:val="000080"/>
                <w:sz w:val="20"/>
              </w:rPr>
              <w:t>Our businesses and projects will strive to engage those affected by out business to better understand how our decisions affect issues such as economic development, indigenous populations, human rights, and workforce development and diversity</w:t>
            </w:r>
            <w:r>
              <w:rPr>
                <w:color w:val="000080"/>
                <w:sz w:val="20"/>
              </w:rPr>
              <w:t>.</w:t>
            </w:r>
          </w:p>
        </w:tc>
        <w:tc>
          <w:tcPr>
            <w:tcW w:w="6840" w:type="dxa"/>
            <w:tcBorders>
              <w:top w:val="thickThinLargeGap" w:sz="6" w:space="0" w:color="C0C0C0"/>
              <w:start w:val="thickThinLargeGap" w:sz="6" w:space="0" w:color="C0C0C0"/>
              <w:bottom w:val="thickThinLargeGap" w:sz="6" w:space="0" w:color="C0C0C0"/>
              <w:end w:val="thickThinLargeGap" w:sz="6" w:space="0" w:color="C0C0C0"/>
            </w:tcBorders>
          </w:tcPr>
          <w:p>
            <w:pPr>
              <w:pStyle w:val="Normal"/>
              <w:snapToGrid w:val="false"/>
              <w:rPr>
                <w:color w:val="000080"/>
                <w:sz w:val="20"/>
              </w:rPr>
            </w:pPr>
            <w:r>
              <w:rPr>
                <w:color w:val="000080"/>
                <w:sz w:val="20"/>
              </w:rPr>
            </w:r>
          </w:p>
        </w:tc>
      </w:tr>
    </w:tbl>
    <w:p>
      <w:pPr>
        <w:pStyle w:val="Header"/>
        <w:tabs>
          <w:tab w:val="clear" w:pos="4320"/>
          <w:tab w:val="clear" w:pos="8640"/>
        </w:tabs>
        <w:rPr/>
      </w:pPr>
      <w:r>
        <w:rPr/>
      </w:r>
    </w:p>
    <w:sectPr>
      <w:headerReference w:type="default" r:id="rId2"/>
      <w:footerReference w:type="default" r:id="rId3"/>
      <w:type w:val="nextPage"/>
      <w:pgSz w:orient="landscape" w:w="15840" w:h="12240"/>
      <w:pgMar w:left="1440" w:right="1440" w:gutter="0" w:header="432" w:top="720" w:footer="432"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ourier New">
    <w:charset w:val="00" w:characterSet="windows-1252"/>
    <w:family w:val="modern"/>
    <w:pitch w:val="default"/>
  </w:font>
  <w:font w:name="Liberation Sans">
    <w:altName w:val="Arial"/>
    <w:charset w:val="01" w:characterSet="utf-8"/>
    <w:family w:val="swiss"/>
    <w:pitch w:val="variable"/>
  </w:font>
  <w:font w:name="Verdan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fldChar w:fldCharType="begin"/>
    </w:r>
    <w:r>
      <w:rPr/>
      <w:instrText xml:space="preserve"> DATE \@"M\/d\/yyyy" </w:instrText>
    </w:r>
    <w:r>
      <w:rPr/>
      <w:fldChar w:fldCharType="separate"/>
    </w:r>
    <w:r>
      <w:rPr/>
      <w:t>9/28/2025</w:t>
    </w:r>
    <w:r>
      <w:rPr/>
      <w:fldChar w:fldCharType="end"/>
    </w:r>
    <w:r>
      <w:rPr/>
      <w:t xml:space="preserve"> </w:t>
    </w:r>
    <w:r>
      <w:rPr/>
      <w:fldChar w:fldCharType="begin"/>
    </w:r>
    <w:r>
      <w:rPr/>
      <w:instrText xml:space="preserve"> TIME \@"H:mm\ AM/PM" </w:instrText>
    </w:r>
    <w:r>
      <w:rPr/>
      <w:fldChar w:fldCharType="separate"/>
    </w:r>
    <w:r>
      <w:rPr/>
      <w:t>8:36 AM</w:t>
    </w:r>
    <w: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bCs/>
        <w:sz w:val="32"/>
      </w:rPr>
    </w:pPr>
    <w:r>
      <w:pict>
        <v:shapetype id="_x0000_t172" coordsize="21600,21600" o:spt="172" adj="12000" path="m0@0l21600,m,21600l21600@1e">
          <v:formulas>
            <v:f eqn="val #0"/>
            <v:f eqn="sum 21600 0 @0"/>
            <v:f eqn="prod #0 1 2"/>
            <v:f eqn="sum @2 10800 0"/>
            <v:f eqn="prod @1 1 2"/>
            <v:f eqn="sum @4 10800 0"/>
          </v:formulas>
          <v:path textpathok="t" o:connecttype="custom" o:connectlocs="10800,@2;0,@3;10800,@5;21600,@4" o:connectangles="270,180,90,0"/>
          <v:textpath on="t" fitshape="t"/>
          <v:handles>
            <v:h position="topLeft,#0" yrange="0,15429"/>
          </v:handles>
          <o:lock v:ext="edit" text="t" shapetype="t"/>
        </v:shapetype>
        <v:shape id="shape_0" adj="6924" fillcolor="#6600cc" stroked="t" o:allowincell="f" style="position:absolute;margin-left:-45pt;margin-top:-3.6pt;width:44.95pt;height:44.95pt;mso-wrap-style:none;v-text-anchor:middle" type="_x0000_t172">
          <v:path textpathok="t"/>
          <v:textpath on="t" fitshape="t" string="Draft" style="font-family:&quot;Impact&quot;;font-size:12pt" trim="t"/>
          <v:fill o:detectmouseclick="t" color2="#cc00cc"/>
          <v:stroke color="#cc99ff" weight="9360" joinstyle="miter" endcap="flat"/>
          <v:shadow on="t" obscured="f" color="#9999ff"/>
          <w10:wrap type="none"/>
        </v:shape>
      </w:pict>
    </w:r>
    <w:r>
      <w:rPr>
        <w:b/>
        <w:bCs/>
        <w:sz w:val="32"/>
      </w:rPr>
      <w:t>Enron Diversity Overview</w:t>
    </w:r>
  </w:p>
  <w:p>
    <w:pPr>
      <w:pStyle w:val="Header"/>
      <w:jc w:val="center"/>
      <w:rPr>
        <w:b/>
        <w:bCs/>
        <w:sz w:val="20"/>
      </w:rPr>
    </w:pPr>
    <w:r>
      <w:rPr>
        <w:b/>
        <w:bCs/>
        <w:sz w:val="20"/>
      </w:rPr>
    </w:r>
  </w:p>
  <w:tbl>
    <w:tblPr>
      <w:tblW w:w="14400" w:type="dxa"/>
      <w:jc w:val="start"/>
      <w:tblInd w:w="-612" w:type="dxa"/>
      <w:tblLayout w:type="fixed"/>
      <w:tblCellMar>
        <w:top w:w="0" w:type="dxa"/>
        <w:start w:w="108" w:type="dxa"/>
        <w:bottom w:w="0" w:type="dxa"/>
        <w:end w:w="108" w:type="dxa"/>
      </w:tblCellMar>
    </w:tblPr>
    <w:tblGrid>
      <w:gridCol w:w="2700"/>
      <w:gridCol w:w="4860"/>
      <w:gridCol w:w="6840"/>
    </w:tblGrid>
    <w:tr>
      <w:trPr/>
      <w:tc>
        <w:tcPr>
          <w:tcW w:w="2700" w:type="dxa"/>
          <w:tcBorders>
            <w:top w:val="thickThinLargeGap" w:sz="6" w:space="0" w:color="C0C0C0"/>
            <w:start w:val="thickThinLargeGap" w:sz="6" w:space="0" w:color="C0C0C0"/>
            <w:bottom w:val="thickThinLargeGap" w:sz="6" w:space="0" w:color="C0C0C0"/>
            <w:end w:val="thickThinLargeGap" w:sz="6" w:space="0" w:color="C0C0C0"/>
          </w:tcBorders>
        </w:tcPr>
        <w:p>
          <w:pPr>
            <w:pStyle w:val="Header"/>
            <w:tabs>
              <w:tab w:val="clear" w:pos="4320"/>
              <w:tab w:val="clear" w:pos="8640"/>
            </w:tabs>
            <w:jc w:val="center"/>
            <w:rPr>
              <w:b/>
              <w:bCs/>
              <w:shadow/>
            </w:rPr>
          </w:pPr>
          <w:r>
            <w:rPr>
              <w:b/>
              <w:bCs/>
              <w:shadow/>
            </w:rPr>
            <w:t>Area</w:t>
          </w:r>
        </w:p>
      </w:tc>
      <w:tc>
        <w:tcPr>
          <w:tcW w:w="4860" w:type="dxa"/>
          <w:tcBorders>
            <w:top w:val="thickThinLargeGap" w:sz="6" w:space="0" w:color="C0C0C0"/>
            <w:start w:val="thickThinLargeGap" w:sz="6" w:space="0" w:color="C0C0C0"/>
            <w:bottom w:val="thickThinLargeGap" w:sz="6" w:space="0" w:color="C0C0C0"/>
            <w:end w:val="thickThinLargeGap" w:sz="6" w:space="0" w:color="C0C0C0"/>
          </w:tcBorders>
        </w:tcPr>
        <w:p>
          <w:pPr>
            <w:pStyle w:val="Normal"/>
            <w:jc w:val="center"/>
            <w:rPr>
              <w:b/>
              <w:bCs/>
              <w:shadow/>
            </w:rPr>
          </w:pPr>
          <w:r>
            <w:rPr>
              <w:b/>
              <w:bCs/>
              <w:shadow/>
            </w:rPr>
            <w:t>Rationale</w:t>
          </w:r>
        </w:p>
      </w:tc>
      <w:tc>
        <w:tcPr>
          <w:tcW w:w="6840" w:type="dxa"/>
          <w:tcBorders>
            <w:top w:val="thickThinLargeGap" w:sz="6" w:space="0" w:color="C0C0C0"/>
            <w:start w:val="thickThinLargeGap" w:sz="6" w:space="0" w:color="C0C0C0"/>
            <w:bottom w:val="thickThinLargeGap" w:sz="6" w:space="0" w:color="C0C0C0"/>
            <w:end w:val="thickThinLargeGap" w:sz="6" w:space="0" w:color="C0C0C0"/>
          </w:tcBorders>
        </w:tcPr>
        <w:p>
          <w:pPr>
            <w:pStyle w:val="Normal"/>
            <w:jc w:val="center"/>
            <w:rPr>
              <w:b/>
              <w:bCs/>
              <w:shadow/>
            </w:rPr>
          </w:pPr>
          <w:r>
            <w:rPr>
              <w:b/>
              <w:bCs/>
              <w:shadow/>
            </w:rPr>
            <w:t>Action Items and Initiatives</w:t>
          </w:r>
        </w:p>
      </w:tc>
    </w:tr>
  </w:tbl>
  <w:p>
    <w:pPr>
      <w:pStyle w:val="Header"/>
      <w:rPr>
        <w:sz w:val="8"/>
      </w:rPr>
    </w:pPr>
    <w:r>
      <w:rPr>
        <w:sz w:val="8"/>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numFmt w:val="bullet"/>
      <w:lvlText w:val=""/>
      <w:lvlJc w:val="start"/>
      <w:pPr>
        <w:tabs>
          <w:tab w:val="num" w:pos="0"/>
        </w:tabs>
        <w:ind w:start="0" w:hanging="0"/>
      </w:pPr>
      <w:rPr>
        <w:rFonts w:ascii="Wingdings" w:hAnsi="Wingdings" w:cs="Wingdings" w:hint="default"/>
      </w:rPr>
    </w:lvl>
  </w:abstractNum>
  <w:abstractNum w:abstractNumId="3">
    <w:lvl w:ilvl="0">
      <w:numFmt w:val="bullet"/>
      <w:lvlText w:val=""/>
      <w:lvlJc w:val="start"/>
      <w:pPr>
        <w:tabs>
          <w:tab w:val="num" w:pos="0"/>
        </w:tabs>
        <w:ind w:start="0" w:hanging="0"/>
      </w:pPr>
      <w:rPr>
        <w:rFonts w:ascii="Wingdings" w:hAnsi="Wingdings" w:cs="Wingdings" w:hint="default"/>
      </w:rPr>
    </w:lvl>
  </w:abstractNum>
  <w:abstractNum w:abstractNumId="4">
    <w:lvl w:ilvl="0">
      <w:numFmt w:val="bullet"/>
      <w:lvlText w:val=""/>
      <w:lvlJc w:val="start"/>
      <w:pPr>
        <w:tabs>
          <w:tab w:val="num" w:pos="0"/>
        </w:tabs>
        <w:ind w:start="0" w:hanging="0"/>
      </w:pPr>
      <w:rPr>
        <w:rFonts w:ascii="Wingdings" w:hAnsi="Wingdings" w:cs="Wingdings" w:hint="default"/>
      </w:rPr>
    </w:lvl>
  </w:abstractNum>
  <w:abstractNum w:abstractNumId="5">
    <w:lvl w:ilvl="0">
      <w:numFmt w:val="bullet"/>
      <w:lvlText w:val=""/>
      <w:lvlJc w:val="start"/>
      <w:pPr>
        <w:tabs>
          <w:tab w:val="num" w:pos="0"/>
        </w:tabs>
        <w:ind w:start="0" w:hanging="0"/>
      </w:pPr>
      <w:rPr>
        <w:rFonts w:ascii="Wingdings" w:hAnsi="Wingdings" w:cs="Wingdings" w:hint="default"/>
      </w:rPr>
    </w:lvl>
  </w:abstractNum>
  <w:abstractNum w:abstractNumId="6">
    <w:lvl w:ilvl="0">
      <w:numFmt w:val="bullet"/>
      <w:lvlText w:val=""/>
      <w:lvlJc w:val="start"/>
      <w:pPr>
        <w:tabs>
          <w:tab w:val="num" w:pos="0"/>
        </w:tabs>
        <w:ind w:start="0" w:hanging="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rPr>
  </w:style>
  <w:style w:type="character" w:styleId="WW8Num1z0">
    <w:name w:val="WW8Num1z0"/>
    <w:qFormat/>
    <w:rPr>
      <w:rFonts w:ascii="Symbol" w:hAnsi="Symbol" w:cs="Symbol"/>
    </w:rPr>
  </w:style>
  <w:style w:type="character" w:styleId="WW8Num2z0">
    <w:name w:val="WW8Num2z0"/>
    <w:qFormat/>
    <w:rPr>
      <w:rFonts w:ascii="Wingdings" w:hAnsi="Wingdings" w:cs="Wingdings"/>
    </w:rPr>
  </w:style>
  <w:style w:type="character" w:styleId="WW8Num2z1">
    <w:name w:val="WW8Num2z1"/>
    <w:qFormat/>
    <w:rPr>
      <w:rFonts w:ascii="Courier New" w:hAnsi="Courier New" w:cs="Courier New"/>
    </w:rPr>
  </w:style>
  <w:style w:type="character" w:styleId="WW8Num2z3">
    <w:name w:val="WW8Num2z3"/>
    <w:qFormat/>
    <w:rPr>
      <w:rFonts w:ascii="Symbol" w:hAnsi="Symbol" w:cs="Symbol"/>
    </w:rPr>
  </w:style>
  <w:style w:type="character" w:styleId="WW8Num3z0">
    <w:name w:val="WW8Num3z0"/>
    <w:qFormat/>
    <w:rPr>
      <w:rFonts w:ascii="Wingdings" w:hAnsi="Wingdings" w:cs="Wingdings"/>
    </w:rPr>
  </w:style>
  <w:style w:type="character" w:styleId="WW8Num3z1">
    <w:name w:val="WW8Num3z1"/>
    <w:qFormat/>
    <w:rPr>
      <w:rFonts w:ascii="Courier New" w:hAnsi="Courier New" w:cs="Courier New"/>
    </w:rPr>
  </w:style>
  <w:style w:type="character" w:styleId="WW8Num3z3">
    <w:name w:val="WW8Num3z3"/>
    <w:qFormat/>
    <w:rPr>
      <w:rFonts w:ascii="Symbol" w:hAnsi="Symbol" w:cs="Symbol"/>
    </w:rPr>
  </w:style>
  <w:style w:type="character" w:styleId="WW8Num4z0">
    <w:name w:val="WW8Num4z0"/>
    <w:qFormat/>
    <w:rPr>
      <w:rFonts w:ascii="Wingdings" w:hAnsi="Wingdings" w:cs="Wingdings"/>
    </w:rPr>
  </w:style>
  <w:style w:type="character" w:styleId="WW8Num4z1">
    <w:name w:val="WW8Num4z1"/>
    <w:qFormat/>
    <w:rPr>
      <w:rFonts w:ascii="Courier New" w:hAnsi="Courier New" w:cs="Courier New"/>
    </w:rPr>
  </w:style>
  <w:style w:type="character" w:styleId="WW8Num4z3">
    <w:name w:val="WW8Num4z3"/>
    <w:qFormat/>
    <w:rPr>
      <w:rFonts w:ascii="Symbol" w:hAnsi="Symbol" w:cs="Symbol"/>
    </w:rPr>
  </w:style>
  <w:style w:type="character" w:styleId="WW8Num5z0">
    <w:name w:val="WW8Num5z0"/>
    <w:qFormat/>
    <w:rPr>
      <w:rFonts w:ascii="Wingdings" w:hAnsi="Wingdings" w:cs="Wingdings"/>
    </w:rPr>
  </w:style>
  <w:style w:type="character" w:styleId="WW8Num5z1">
    <w:name w:val="WW8Num5z1"/>
    <w:qFormat/>
    <w:rPr>
      <w:rFonts w:ascii="Courier New" w:hAnsi="Courier New" w:cs="Courier New"/>
    </w:rPr>
  </w:style>
  <w:style w:type="character" w:styleId="WW8Num5z3">
    <w:name w:val="WW8Num5z3"/>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Wingdings" w:hAnsi="Wingdings" w:cs="Wingdings"/>
    </w:rPr>
  </w:style>
  <w:style w:type="character" w:styleId="WW8Num7z1">
    <w:name w:val="WW8Num7z1"/>
    <w:qFormat/>
    <w:rPr>
      <w:rFonts w:ascii="Courier New" w:hAnsi="Courier New" w:cs="Courier New"/>
    </w:rPr>
  </w:style>
  <w:style w:type="character" w:styleId="WW8Num7z3">
    <w:name w:val="WW8Num7z3"/>
    <w:qFormat/>
    <w:rPr>
      <w:rFonts w:ascii="Symbol" w:hAnsi="Symbol" w:cs="Symbol"/>
    </w:rPr>
  </w:style>
  <w:style w:type="character" w:styleId="WW8Num8z0">
    <w:name w:val="WW8Num8z0"/>
    <w:qFormat/>
    <w:rPr>
      <w:rFonts w:ascii="Symbol" w:hAnsi="Symbol" w:cs="Symbol"/>
    </w:rPr>
  </w:style>
  <w:style w:type="character" w:styleId="WW8Num9z0">
    <w:name w:val="WW8Num9z0"/>
    <w:qFormat/>
    <w:rPr>
      <w:rFonts w:ascii="Wingdings" w:hAnsi="Wingdings" w:cs="Wingdings"/>
    </w:rPr>
  </w:style>
  <w:style w:type="character" w:styleId="WW8Num9z1">
    <w:name w:val="WW8Num9z1"/>
    <w:qFormat/>
    <w:rPr>
      <w:rFonts w:ascii="Courier New" w:hAnsi="Courier New" w:cs="Courier New"/>
    </w:rPr>
  </w:style>
  <w:style w:type="character" w:styleId="WW8Num9z3">
    <w:name w:val="WW8Num9z3"/>
    <w:qFormat/>
    <w:rPr>
      <w:rFonts w:ascii="Symbol" w:hAnsi="Symbol" w:cs="Symbol"/>
    </w:rPr>
  </w:style>
  <w:style w:type="character" w:styleId="WW8Num10z0">
    <w:name w:val="WW8Num10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i/>
      <w:color w:val="000080"/>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hanging="0" w:start="37" w:end="0"/>
    </w:pPr>
    <w:rPr>
      <w:b/>
      <w:bCs/>
      <w:i/>
      <w:iCs/>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291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2001-10-05T23:54:00Z</dcterms:created>
  <dc:creator>Andrea Yowman</dc:creator>
  <dc:description/>
  <dc:language>en-CA</dc:language>
  <cp:lastModifiedBy>Andrea Yowman</cp:lastModifiedBy>
  <cp:lastPrinted>2001-10-06T15:26:00Z</cp:lastPrinted>
  <dcterms:modified xsi:type="dcterms:W3CDTF">2001-10-07T13:14:00Z</dcterms:modified>
  <cp:revision>16</cp:revision>
  <dc:subject/>
  <dc:title>Area</dc:title>
</cp:coreProperties>
</file>